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25818A8" w14:textId="4DFCE7C1" w:rsidR="00480E5D" w:rsidRPr="00480E5D" w:rsidRDefault="00DB5BA8" w:rsidP="00480E5D">
      <w:pPr>
        <w:spacing w:after="160" w:line="259" w:lineRule="auto"/>
        <w:jc w:val="center"/>
        <w:rPr>
          <w:b/>
          <w:color w:val="44546A" w:themeColor="text2"/>
          <w:sz w:val="44"/>
          <w:szCs w:val="44"/>
        </w:rPr>
      </w:pPr>
      <w:r>
        <w:rPr>
          <w:noProof/>
        </w:rPr>
        <mc:AlternateContent>
          <mc:Choice Requires="wps">
            <w:drawing>
              <wp:anchor distT="0" distB="0" distL="114300" distR="114300" simplePos="0" relativeHeight="251660288" behindDoc="0" locked="0" layoutInCell="1" allowOverlap="1" wp14:anchorId="6D194B5B" wp14:editId="58F52812">
                <wp:simplePos x="0" y="0"/>
                <wp:positionH relativeFrom="margin">
                  <wp:posOffset>-114300</wp:posOffset>
                </wp:positionH>
                <wp:positionV relativeFrom="paragraph">
                  <wp:posOffset>2288540</wp:posOffset>
                </wp:positionV>
                <wp:extent cx="5283200" cy="5568286"/>
                <wp:effectExtent l="0" t="0" r="0" b="0"/>
                <wp:wrapNone/>
                <wp:docPr id="3" name="Text Box 3"/>
                <wp:cNvGraphicFramePr/>
                <a:graphic xmlns:a="http://schemas.openxmlformats.org/drawingml/2006/main">
                  <a:graphicData uri="http://schemas.microsoft.com/office/word/2010/wordprocessingShape">
                    <wps:wsp>
                      <wps:cNvSpPr txBox="1"/>
                      <wps:spPr>
                        <a:xfrm>
                          <a:off x="0" y="0"/>
                          <a:ext cx="5283200" cy="5568286"/>
                        </a:xfrm>
                        <a:prstGeom prst="rect">
                          <a:avLst/>
                        </a:prstGeom>
                        <a:noFill/>
                        <a:ln w="6350">
                          <a:noFill/>
                        </a:ln>
                      </wps:spPr>
                      <wps:txbx>
                        <w:txbxContent>
                          <w:p w14:paraId="1276ADAC"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2023 Parliamentary</w:t>
                            </w:r>
                          </w:p>
                          <w:p w14:paraId="6DF16265"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Constituency</w:t>
                            </w:r>
                          </w:p>
                          <w:p w14:paraId="60589E65"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Boundary Review</w:t>
                            </w:r>
                          </w:p>
                          <w:p w14:paraId="42C18380" w14:textId="77777777" w:rsidR="001519FF" w:rsidRDefault="001519FF" w:rsidP="001519FF">
                            <w:pPr>
                              <w:spacing w:line="192" w:lineRule="auto"/>
                              <w:rPr>
                                <w:rFonts w:ascii="Myriad Pro" w:hAnsi="Myriad Pro"/>
                                <w:b/>
                                <w:bCs/>
                                <w:color w:val="FFFFFF" w:themeColor="background1"/>
                                <w:sz w:val="82"/>
                                <w:szCs w:val="90"/>
                              </w:rPr>
                            </w:pPr>
                          </w:p>
                          <w:p w14:paraId="14DE942D" w14:textId="77777777" w:rsidR="001519FF" w:rsidRPr="002A685D" w:rsidRDefault="001519FF" w:rsidP="001519FF">
                            <w:pPr>
                              <w:spacing w:line="192" w:lineRule="auto"/>
                              <w:rPr>
                                <w:rFonts w:ascii="Myriad Pro" w:hAnsi="Myriad Pro"/>
                                <w:b/>
                                <w:bCs/>
                                <w:color w:val="FFFFFF" w:themeColor="background1"/>
                                <w:sz w:val="72"/>
                                <w:szCs w:val="72"/>
                              </w:rPr>
                            </w:pPr>
                            <w:r w:rsidRPr="002A685D">
                              <w:rPr>
                                <w:rFonts w:ascii="Myriad Pro" w:hAnsi="Myriad Pro"/>
                                <w:b/>
                                <w:bCs/>
                                <w:color w:val="FFFFFF" w:themeColor="background1"/>
                                <w:sz w:val="72"/>
                                <w:szCs w:val="72"/>
                              </w:rPr>
                              <w:t>Guide to the Secondary Consultation</w:t>
                            </w:r>
                            <w:r>
                              <w:rPr>
                                <w:rFonts w:ascii="Myriad Pro" w:hAnsi="Myriad Pro"/>
                                <w:b/>
                                <w:bCs/>
                                <w:color w:val="FFFFFF" w:themeColor="background1"/>
                                <w:sz w:val="72"/>
                                <w:szCs w:val="72"/>
                              </w:rPr>
                              <w:t xml:space="preserve"> Period, including</w:t>
                            </w:r>
                            <w:r w:rsidRPr="002A685D">
                              <w:rPr>
                                <w:rFonts w:ascii="Myriad Pro" w:hAnsi="Myriad Pro"/>
                                <w:b/>
                                <w:bCs/>
                                <w:color w:val="FFFFFF" w:themeColor="background1"/>
                                <w:sz w:val="72"/>
                                <w:szCs w:val="72"/>
                              </w:rPr>
                              <w:t xml:space="preserve"> Public Hearings</w:t>
                            </w:r>
                          </w:p>
                          <w:p w14:paraId="39E7518C" w14:textId="77777777" w:rsidR="001519FF" w:rsidRDefault="001519FF" w:rsidP="001519FF">
                            <w:pPr>
                              <w:spacing w:line="192" w:lineRule="auto"/>
                              <w:rPr>
                                <w:rFonts w:ascii="Myriad Pro" w:hAnsi="Myriad Pro"/>
                                <w:b/>
                                <w:bCs/>
                                <w:color w:val="FFFFFF" w:themeColor="background1"/>
                                <w:sz w:val="90"/>
                                <w:szCs w:val="90"/>
                              </w:rPr>
                            </w:pPr>
                          </w:p>
                          <w:p w14:paraId="7A304178" w14:textId="77777777" w:rsidR="001519FF" w:rsidRDefault="001519FF" w:rsidP="001519FF">
                            <w:pPr>
                              <w:spacing w:line="192" w:lineRule="auto"/>
                              <w:rPr>
                                <w:rFonts w:ascii="Myriad Pro" w:hAnsi="Myriad Pro"/>
                                <w:b/>
                                <w:bCs/>
                                <w:color w:val="FFFFFF" w:themeColor="background1"/>
                                <w:sz w:val="90"/>
                                <w:szCs w:val="90"/>
                              </w:rPr>
                            </w:pPr>
                          </w:p>
                          <w:p w14:paraId="284CA217" w14:textId="2E0DE9EE" w:rsidR="001519FF" w:rsidRPr="00172C3E" w:rsidRDefault="00EF741A" w:rsidP="001519FF">
                            <w:pPr>
                              <w:spacing w:line="192" w:lineRule="auto"/>
                              <w:rPr>
                                <w:rFonts w:ascii="Myriad Pro" w:hAnsi="Myriad Pro"/>
                                <w:b/>
                                <w:bCs/>
                                <w:color w:val="FFFFFF" w:themeColor="background1"/>
                                <w:sz w:val="40"/>
                                <w:szCs w:val="2"/>
                              </w:rPr>
                            </w:pPr>
                            <w:r>
                              <w:rPr>
                                <w:rFonts w:ascii="Myriad Pro" w:hAnsi="Myriad Pro"/>
                                <w:b/>
                                <w:bCs/>
                                <w:color w:val="FFFFFF" w:themeColor="background1"/>
                                <w:sz w:val="40"/>
                                <w:szCs w:val="2"/>
                              </w:rPr>
                              <w:t>January</w:t>
                            </w:r>
                            <w:r w:rsidR="001519FF">
                              <w:rPr>
                                <w:rFonts w:ascii="Myriad Pro" w:hAnsi="Myriad Pro"/>
                                <w:b/>
                                <w:bCs/>
                                <w:color w:val="FFFFFF" w:themeColor="background1"/>
                                <w:sz w:val="40"/>
                                <w:szCs w:val="2"/>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194B5B" id="_x0000_t202" coordsize="21600,21600" o:spt="202" path="m,l,21600r21600,l21600,xe">
                <v:stroke joinstyle="miter"/>
                <v:path gradientshapeok="t" o:connecttype="rect"/>
              </v:shapetype>
              <v:shape id="Text Box 3" o:spid="_x0000_s1026" type="#_x0000_t202" style="position:absolute;left:0;text-align:left;margin-left:-9pt;margin-top:180.2pt;width:416pt;height:438.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" filled="f" stroked="f" strokeweight=".5pt">
                <v:textbox>
                  <w:txbxContent>
                    <w:p w14:paraId="1276ADAC"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2023 Parliamentary</w:t>
                      </w:r>
                    </w:p>
                    <w:p w14:paraId="6DF16265"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Constituency</w:t>
                      </w:r>
                    </w:p>
                    <w:p w14:paraId="60589E65" w14:textId="77777777" w:rsidR="001519FF" w:rsidRPr="00555248" w:rsidRDefault="001519FF" w:rsidP="001519FF">
                      <w:pPr>
                        <w:spacing w:line="192" w:lineRule="auto"/>
                        <w:rPr>
                          <w:rFonts w:ascii="Myriad Pro" w:hAnsi="Myriad Pro"/>
                          <w:b/>
                          <w:bCs/>
                          <w:color w:val="FFFFFF" w:themeColor="background1"/>
                          <w:sz w:val="48"/>
                          <w:szCs w:val="90"/>
                        </w:rPr>
                      </w:pPr>
                      <w:r w:rsidRPr="00555248">
                        <w:rPr>
                          <w:rFonts w:ascii="Myriad Pro" w:hAnsi="Myriad Pro"/>
                          <w:b/>
                          <w:bCs/>
                          <w:color w:val="FFFFFF" w:themeColor="background1"/>
                          <w:sz w:val="48"/>
                          <w:szCs w:val="90"/>
                        </w:rPr>
                        <w:t>Boundary Review</w:t>
                      </w:r>
                    </w:p>
                    <w:p w14:paraId="42C18380" w14:textId="77777777" w:rsidR="001519FF" w:rsidRDefault="001519FF" w:rsidP="001519FF">
                      <w:pPr>
                        <w:spacing w:line="192" w:lineRule="auto"/>
                        <w:rPr>
                          <w:rFonts w:ascii="Myriad Pro" w:hAnsi="Myriad Pro"/>
                          <w:b/>
                          <w:bCs/>
                          <w:color w:val="FFFFFF" w:themeColor="background1"/>
                          <w:sz w:val="82"/>
                          <w:szCs w:val="90"/>
                        </w:rPr>
                      </w:pPr>
                    </w:p>
                    <w:p w14:paraId="14DE942D" w14:textId="77777777" w:rsidR="001519FF" w:rsidRPr="002A685D" w:rsidRDefault="001519FF" w:rsidP="001519FF">
                      <w:pPr>
                        <w:spacing w:line="192" w:lineRule="auto"/>
                        <w:rPr>
                          <w:rFonts w:ascii="Myriad Pro" w:hAnsi="Myriad Pro"/>
                          <w:b/>
                          <w:bCs/>
                          <w:color w:val="FFFFFF" w:themeColor="background1"/>
                          <w:sz w:val="72"/>
                          <w:szCs w:val="72"/>
                        </w:rPr>
                      </w:pPr>
                      <w:r w:rsidRPr="002A685D">
                        <w:rPr>
                          <w:rFonts w:ascii="Myriad Pro" w:hAnsi="Myriad Pro"/>
                          <w:b/>
                          <w:bCs/>
                          <w:color w:val="FFFFFF" w:themeColor="background1"/>
                          <w:sz w:val="72"/>
                          <w:szCs w:val="72"/>
                        </w:rPr>
                        <w:t>Guide to the Secondary Consultation</w:t>
                      </w:r>
                      <w:r>
                        <w:rPr>
                          <w:rFonts w:ascii="Myriad Pro" w:hAnsi="Myriad Pro"/>
                          <w:b/>
                          <w:bCs/>
                          <w:color w:val="FFFFFF" w:themeColor="background1"/>
                          <w:sz w:val="72"/>
                          <w:szCs w:val="72"/>
                        </w:rPr>
                        <w:t xml:space="preserve"> Period, including</w:t>
                      </w:r>
                      <w:r w:rsidRPr="002A685D">
                        <w:rPr>
                          <w:rFonts w:ascii="Myriad Pro" w:hAnsi="Myriad Pro"/>
                          <w:b/>
                          <w:bCs/>
                          <w:color w:val="FFFFFF" w:themeColor="background1"/>
                          <w:sz w:val="72"/>
                          <w:szCs w:val="72"/>
                        </w:rPr>
                        <w:t xml:space="preserve"> Public Hearings</w:t>
                      </w:r>
                    </w:p>
                    <w:p w14:paraId="39E7518C" w14:textId="77777777" w:rsidR="001519FF" w:rsidRDefault="001519FF" w:rsidP="001519FF">
                      <w:pPr>
                        <w:spacing w:line="192" w:lineRule="auto"/>
                        <w:rPr>
                          <w:rFonts w:ascii="Myriad Pro" w:hAnsi="Myriad Pro"/>
                          <w:b/>
                          <w:bCs/>
                          <w:color w:val="FFFFFF" w:themeColor="background1"/>
                          <w:sz w:val="90"/>
                          <w:szCs w:val="90"/>
                        </w:rPr>
                      </w:pPr>
                    </w:p>
                    <w:p w14:paraId="7A304178" w14:textId="77777777" w:rsidR="001519FF" w:rsidRDefault="001519FF" w:rsidP="001519FF">
                      <w:pPr>
                        <w:spacing w:line="192" w:lineRule="auto"/>
                        <w:rPr>
                          <w:rFonts w:ascii="Myriad Pro" w:hAnsi="Myriad Pro"/>
                          <w:b/>
                          <w:bCs/>
                          <w:color w:val="FFFFFF" w:themeColor="background1"/>
                          <w:sz w:val="90"/>
                          <w:szCs w:val="90"/>
                        </w:rPr>
                      </w:pPr>
                    </w:p>
                    <w:p w14:paraId="284CA217" w14:textId="2E0DE9EE" w:rsidR="001519FF" w:rsidRPr="00172C3E" w:rsidRDefault="00EF741A" w:rsidP="001519FF">
                      <w:pPr>
                        <w:spacing w:line="192" w:lineRule="auto"/>
                        <w:rPr>
                          <w:rFonts w:ascii="Myriad Pro" w:hAnsi="Myriad Pro"/>
                          <w:b/>
                          <w:bCs/>
                          <w:color w:val="FFFFFF" w:themeColor="background1"/>
                          <w:sz w:val="40"/>
                          <w:szCs w:val="2"/>
                        </w:rPr>
                      </w:pPr>
                      <w:r>
                        <w:rPr>
                          <w:rFonts w:ascii="Myriad Pro" w:hAnsi="Myriad Pro"/>
                          <w:b/>
                          <w:bCs/>
                          <w:color w:val="FFFFFF" w:themeColor="background1"/>
                          <w:sz w:val="40"/>
                          <w:szCs w:val="2"/>
                        </w:rPr>
                        <w:t>January</w:t>
                      </w:r>
                      <w:r w:rsidR="001519FF">
                        <w:rPr>
                          <w:rFonts w:ascii="Myriad Pro" w:hAnsi="Myriad Pro"/>
                          <w:b/>
                          <w:bCs/>
                          <w:color w:val="FFFFFF" w:themeColor="background1"/>
                          <w:sz w:val="40"/>
                          <w:szCs w:val="2"/>
                        </w:rPr>
                        <w:t xml:space="preserve"> 2022</w:t>
                      </w:r>
                    </w:p>
                  </w:txbxContent>
                </v:textbox>
                <w10:wrap anchorx="margin"/>
              </v:shape>
            </w:pict>
          </mc:Fallback>
        </mc:AlternateContent>
      </w:r>
      <w:r w:rsidR="001519FF">
        <w:rPr>
          <w:b/>
          <w:noProof/>
          <w:color w:val="44546A" w:themeColor="text2"/>
          <w:sz w:val="44"/>
          <w:szCs w:val="44"/>
        </w:rPr>
        <w:drawing>
          <wp:anchor distT="0" distB="0" distL="114300" distR="114300" simplePos="0" relativeHeight="251658240" behindDoc="0" locked="0" layoutInCell="1" allowOverlap="1" wp14:anchorId="004ED369" wp14:editId="1EAC8929">
            <wp:simplePos x="0" y="0"/>
            <wp:positionH relativeFrom="page">
              <wp:posOffset>7325</wp:posOffset>
            </wp:positionH>
            <wp:positionV relativeFrom="paragraph">
              <wp:posOffset>-1441450</wp:posOffset>
            </wp:positionV>
            <wp:extent cx="7553325" cy="1066721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67210"/>
                    </a:xfrm>
                    <a:prstGeom prst="rect">
                      <a:avLst/>
                    </a:prstGeom>
                    <a:noFill/>
                  </pic:spPr>
                </pic:pic>
              </a:graphicData>
            </a:graphic>
            <wp14:sizeRelH relativeFrom="page">
              <wp14:pctWidth>0</wp14:pctWidth>
            </wp14:sizeRelH>
            <wp14:sizeRelV relativeFrom="page">
              <wp14:pctHeight>0</wp14:pctHeight>
            </wp14:sizeRelV>
          </wp:anchor>
        </w:drawing>
      </w:r>
      <w:r w:rsidR="00480E5D" w:rsidRPr="00480E5D">
        <w:rPr>
          <w:b/>
          <w:color w:val="44546A" w:themeColor="text2"/>
          <w:sz w:val="44"/>
          <w:szCs w:val="44"/>
        </w:rPr>
        <w:br w:type="page"/>
      </w:r>
    </w:p>
    <w:p w14:paraId="25D6825B" w14:textId="48515789" w:rsidR="00F53A09" w:rsidRPr="008F3B44" w:rsidRDefault="00F53A09" w:rsidP="001519FF">
      <w:pPr>
        <w:pStyle w:val="Heading1"/>
      </w:pPr>
      <w:bookmarkStart w:id="1" w:name="_Hlk90297639"/>
      <w:r>
        <w:lastRenderedPageBreak/>
        <w:t>2023</w:t>
      </w:r>
      <w:r w:rsidRPr="008F3B44">
        <w:t xml:space="preserve"> </w:t>
      </w:r>
      <w:r w:rsidR="0090278C">
        <w:t xml:space="preserve">Review of </w:t>
      </w:r>
      <w:r w:rsidR="0090278C" w:rsidRPr="009A4B38">
        <w:t>Parliamentary</w:t>
      </w:r>
      <w:r w:rsidR="0090278C">
        <w:t xml:space="preserve"> Constituencies</w:t>
      </w:r>
    </w:p>
    <w:p w14:paraId="3153921C" w14:textId="6A97300D" w:rsidR="00F53A09" w:rsidRPr="008F3B44" w:rsidRDefault="00F53A09" w:rsidP="00F53A09">
      <w:pPr>
        <w:spacing w:line="360" w:lineRule="auto"/>
        <w:jc w:val="center"/>
        <w:rPr>
          <w:color w:val="44546A" w:themeColor="text2"/>
          <w:sz w:val="32"/>
          <w:szCs w:val="32"/>
        </w:rPr>
      </w:pPr>
    </w:p>
    <w:p w14:paraId="5420EC14" w14:textId="5DCD3873" w:rsidR="002A685D" w:rsidRPr="00CB7017" w:rsidRDefault="002A685D" w:rsidP="00CB7017">
      <w:pPr>
        <w:pStyle w:val="Heading1"/>
        <w:rPr>
          <w:sz w:val="36"/>
        </w:rPr>
      </w:pPr>
      <w:r w:rsidRPr="00CB7017">
        <w:rPr>
          <w:sz w:val="36"/>
        </w:rPr>
        <w:t>The Secondary Consultation Period,</w:t>
      </w:r>
    </w:p>
    <w:p w14:paraId="5A7945FB" w14:textId="602059C6" w:rsidR="004B1196" w:rsidRPr="00CB7017" w:rsidRDefault="002A685D" w:rsidP="00CB7017">
      <w:pPr>
        <w:pStyle w:val="Heading1"/>
        <w:rPr>
          <w:sz w:val="36"/>
        </w:rPr>
      </w:pPr>
      <w:r w:rsidRPr="00CB7017">
        <w:rPr>
          <w:sz w:val="36"/>
        </w:rPr>
        <w:t xml:space="preserve">including </w:t>
      </w:r>
      <w:r w:rsidR="00F53A09" w:rsidRPr="00CB7017">
        <w:rPr>
          <w:sz w:val="36"/>
        </w:rPr>
        <w:t>Public Hearings</w:t>
      </w:r>
    </w:p>
    <w:p w14:paraId="797E919C" w14:textId="77777777" w:rsidR="004B1196" w:rsidRDefault="004B1196" w:rsidP="00485DDD">
      <w:pPr>
        <w:spacing w:line="360" w:lineRule="auto"/>
        <w:ind w:left="-540"/>
        <w:jc w:val="center"/>
        <w:rPr>
          <w:b/>
          <w:color w:val="44546A" w:themeColor="text2"/>
          <w:sz w:val="32"/>
          <w:szCs w:val="32"/>
        </w:rPr>
      </w:pPr>
    </w:p>
    <w:p w14:paraId="07A50F4D" w14:textId="62A427EC" w:rsidR="004B1196" w:rsidRDefault="003F6F99" w:rsidP="00CB7017">
      <w:pPr>
        <w:pStyle w:val="Heading2"/>
      </w:pPr>
      <w:r>
        <w:t>Introduction</w:t>
      </w:r>
    </w:p>
    <w:p w14:paraId="6696FADE" w14:textId="77777777" w:rsidR="005D197A" w:rsidRPr="005D197A" w:rsidRDefault="005D197A" w:rsidP="005D197A"/>
    <w:p w14:paraId="457A177A" w14:textId="0C5CFE5D" w:rsidR="00387265" w:rsidRPr="008202A1" w:rsidRDefault="0072377A" w:rsidP="00AB0C17">
      <w:pPr>
        <w:pStyle w:val="MainBody"/>
        <w:rPr>
          <w:rStyle w:val="Emphasis"/>
          <w:i w:val="0"/>
        </w:rPr>
      </w:pPr>
      <w:r w:rsidRPr="008202A1">
        <w:rPr>
          <w:rStyle w:val="Emphasis"/>
          <w:i w:val="0"/>
        </w:rPr>
        <w:t xml:space="preserve">Thank you for your interest in the </w:t>
      </w:r>
      <w:r w:rsidR="009649BA" w:rsidRPr="008202A1">
        <w:rPr>
          <w:rStyle w:val="Emphasis"/>
          <w:i w:val="0"/>
        </w:rPr>
        <w:t xml:space="preserve">Boundary Commission for Northern Ireland (BCNI) </w:t>
      </w:r>
      <w:r w:rsidRPr="008202A1">
        <w:rPr>
          <w:rStyle w:val="Emphasis"/>
          <w:i w:val="0"/>
        </w:rPr>
        <w:t xml:space="preserve">2023 </w:t>
      </w:r>
      <w:r w:rsidR="009649BA" w:rsidRPr="008202A1">
        <w:rPr>
          <w:rStyle w:val="Emphasis"/>
          <w:i w:val="0"/>
        </w:rPr>
        <w:t xml:space="preserve">Review of </w:t>
      </w:r>
      <w:r w:rsidRPr="008202A1">
        <w:rPr>
          <w:rStyle w:val="Emphasis"/>
          <w:i w:val="0"/>
        </w:rPr>
        <w:t>Parliamentary</w:t>
      </w:r>
      <w:r w:rsidR="009649BA" w:rsidRPr="008202A1">
        <w:rPr>
          <w:rStyle w:val="Emphasis"/>
          <w:i w:val="0"/>
        </w:rPr>
        <w:t xml:space="preserve"> Constituencies</w:t>
      </w:r>
      <w:r w:rsidRPr="008202A1">
        <w:rPr>
          <w:rStyle w:val="Emphasis"/>
          <w:i w:val="0"/>
        </w:rPr>
        <w:t>.</w:t>
      </w:r>
      <w:r w:rsidR="00485DDD" w:rsidRPr="008202A1">
        <w:rPr>
          <w:rStyle w:val="Emphasis"/>
          <w:i w:val="0"/>
        </w:rPr>
        <w:t xml:space="preserve"> BCNI is an independent and impartial public body which is responsible for reviewing Parliamentary constituency boundaries in Northern Ireland on the basis of rules set out in the Parliamentary Constituencies Act 1986, as amended (the Act).</w:t>
      </w:r>
      <w:r w:rsidR="00D61529" w:rsidRPr="008202A1">
        <w:rPr>
          <w:rStyle w:val="Emphasis"/>
          <w:i w:val="0"/>
        </w:rPr>
        <w:t xml:space="preserve"> In accordance with the Act, BCNI is required to review Parliamentary constituency boundaries and submit its final report with recommendations before 1st July 2023</w:t>
      </w:r>
      <w:r w:rsidR="00803CB8" w:rsidRPr="008202A1">
        <w:rPr>
          <w:rStyle w:val="Emphasis"/>
          <w:i w:val="0"/>
        </w:rPr>
        <w:t>.</w:t>
      </w:r>
    </w:p>
    <w:p w14:paraId="6C7E3F46" w14:textId="466EDE68" w:rsidR="00484FCF" w:rsidRDefault="003F6F99" w:rsidP="00CB7017">
      <w:pPr>
        <w:pStyle w:val="MainBody"/>
        <w:rPr>
          <w:i/>
        </w:rPr>
      </w:pPr>
      <w:r w:rsidRPr="008202A1">
        <w:rPr>
          <w:rStyle w:val="Emphasis"/>
          <w:i w:val="0"/>
        </w:rPr>
        <w:t xml:space="preserve">The Act requires the Commission to hold three periods of public consultation during the course of the 2023 Review. </w:t>
      </w:r>
      <w:r w:rsidR="00D61529" w:rsidRPr="008202A1">
        <w:rPr>
          <w:rStyle w:val="Emphasis"/>
          <w:i w:val="0"/>
        </w:rPr>
        <w:t>The initial consultation was launched on 20th October 2021 and closed on 15th December 2021.</w:t>
      </w:r>
      <w:r w:rsidR="00803CB8" w:rsidRPr="008202A1">
        <w:rPr>
          <w:rStyle w:val="Emphasis"/>
          <w:i w:val="0"/>
        </w:rPr>
        <w:t xml:space="preserve"> </w:t>
      </w:r>
      <w:r w:rsidRPr="008202A1">
        <w:rPr>
          <w:rStyle w:val="Emphasis"/>
          <w:i w:val="0"/>
        </w:rPr>
        <w:t>This Guide provides information about th</w:t>
      </w:r>
      <w:r w:rsidR="00803CB8" w:rsidRPr="008202A1">
        <w:rPr>
          <w:rStyle w:val="Emphasis"/>
          <w:i w:val="0"/>
        </w:rPr>
        <w:t>e secondary consultation period</w:t>
      </w:r>
      <w:r w:rsidR="008D5EA0" w:rsidRPr="008202A1">
        <w:rPr>
          <w:rStyle w:val="Emphasis"/>
          <w:i w:val="0"/>
        </w:rPr>
        <w:t xml:space="preserve">, </w:t>
      </w:r>
      <w:r w:rsidR="008D5EA0" w:rsidRPr="00EA7578">
        <w:rPr>
          <w:rStyle w:val="Emphasis"/>
          <w:i w:val="0"/>
        </w:rPr>
        <w:t xml:space="preserve">including </w:t>
      </w:r>
      <w:r w:rsidR="003861E6" w:rsidRPr="00EA7578">
        <w:rPr>
          <w:rStyle w:val="Emphasis"/>
          <w:i w:val="0"/>
        </w:rPr>
        <w:t>the public hearings</w:t>
      </w:r>
      <w:r w:rsidR="00803CB8" w:rsidRPr="00EA7578">
        <w:rPr>
          <w:rStyle w:val="Emphasis"/>
          <w:i w:val="0"/>
        </w:rPr>
        <w:t>.</w:t>
      </w:r>
      <w:r w:rsidR="00803CB8" w:rsidRPr="008202A1">
        <w:rPr>
          <w:rStyle w:val="Emphasis"/>
          <w:i w:val="0"/>
        </w:rPr>
        <w:t xml:space="preserve"> The secondary consultation period begins on 9th February 2022, and last</w:t>
      </w:r>
      <w:r w:rsidR="008D5EA0" w:rsidRPr="008202A1">
        <w:rPr>
          <w:rStyle w:val="Emphasis"/>
          <w:i w:val="0"/>
        </w:rPr>
        <w:t>s</w:t>
      </w:r>
      <w:r w:rsidR="00803CB8" w:rsidRPr="008202A1">
        <w:rPr>
          <w:rStyle w:val="Emphasis"/>
          <w:i w:val="0"/>
        </w:rPr>
        <w:t xml:space="preserve"> for six weeks</w:t>
      </w:r>
      <w:r w:rsidR="00803CB8" w:rsidRPr="008202A1">
        <w:rPr>
          <w:i/>
        </w:rPr>
        <w:t>.</w:t>
      </w:r>
    </w:p>
    <w:p w14:paraId="265706F9" w14:textId="77777777" w:rsidR="00CB7017" w:rsidRPr="00CB7017" w:rsidRDefault="00CB7017" w:rsidP="00CB7017">
      <w:pPr>
        <w:pStyle w:val="MainBody"/>
        <w:rPr>
          <w:i/>
        </w:rPr>
      </w:pPr>
    </w:p>
    <w:p w14:paraId="701CD05C" w14:textId="47D618C6" w:rsidR="00485DDD" w:rsidRDefault="00D61529" w:rsidP="00CB7017">
      <w:pPr>
        <w:pStyle w:val="Heading2"/>
      </w:pPr>
      <w:r>
        <w:t>Statutory Process</w:t>
      </w:r>
    </w:p>
    <w:p w14:paraId="7B81427C" w14:textId="77777777" w:rsidR="00F04152" w:rsidRPr="00F04152" w:rsidRDefault="00F04152" w:rsidP="00F04152"/>
    <w:p w14:paraId="53647E46" w14:textId="0E87454F" w:rsidR="003861E6" w:rsidRDefault="008D5EA0" w:rsidP="00AB0C17">
      <w:pPr>
        <w:pStyle w:val="MainBody"/>
        <w:rPr>
          <w:rStyle w:val="Emphasis"/>
          <w:i w:val="0"/>
        </w:rPr>
      </w:pPr>
      <w:r w:rsidRPr="008202A1">
        <w:rPr>
          <w:rStyle w:val="Emphasis"/>
          <w:i w:val="0"/>
        </w:rPr>
        <w:t>The initial consultation period</w:t>
      </w:r>
      <w:r w:rsidR="0072377A" w:rsidRPr="008202A1">
        <w:rPr>
          <w:rStyle w:val="Emphasis"/>
          <w:i w:val="0"/>
        </w:rPr>
        <w:t xml:space="preserve"> has now been completed</w:t>
      </w:r>
      <w:r w:rsidR="0056384E" w:rsidRPr="008202A1">
        <w:rPr>
          <w:rStyle w:val="Emphasis"/>
          <w:i w:val="0"/>
        </w:rPr>
        <w:t xml:space="preserve"> and </w:t>
      </w:r>
      <w:r w:rsidR="003861E6" w:rsidRPr="008202A1">
        <w:rPr>
          <w:rStyle w:val="Emphasis"/>
          <w:i w:val="0"/>
        </w:rPr>
        <w:t xml:space="preserve">the </w:t>
      </w:r>
      <w:r w:rsidR="0056384E" w:rsidRPr="008202A1">
        <w:rPr>
          <w:rStyle w:val="Emphasis"/>
          <w:i w:val="0"/>
        </w:rPr>
        <w:t xml:space="preserve">representations </w:t>
      </w:r>
      <w:r w:rsidR="00215796" w:rsidRPr="008202A1">
        <w:rPr>
          <w:rStyle w:val="Emphasis"/>
          <w:i w:val="0"/>
        </w:rPr>
        <w:t xml:space="preserve">received have been </w:t>
      </w:r>
      <w:r w:rsidR="0056384E" w:rsidRPr="008202A1">
        <w:rPr>
          <w:rStyle w:val="Emphasis"/>
          <w:i w:val="0"/>
        </w:rPr>
        <w:t>published on the Commission’s website</w:t>
      </w:r>
      <w:r w:rsidR="0072377A" w:rsidRPr="008202A1">
        <w:rPr>
          <w:rStyle w:val="Emphasis"/>
          <w:i w:val="0"/>
        </w:rPr>
        <w:t>.</w:t>
      </w:r>
      <w:r w:rsidR="00215796" w:rsidRPr="008202A1">
        <w:rPr>
          <w:rStyle w:val="Emphasis"/>
          <w:i w:val="0"/>
        </w:rPr>
        <w:t xml:space="preserve"> </w:t>
      </w:r>
      <w:r w:rsidR="00996A2A" w:rsidRPr="008202A1">
        <w:rPr>
          <w:rStyle w:val="Emphasis"/>
          <w:i w:val="0"/>
        </w:rPr>
        <w:t>These representations have been</w:t>
      </w:r>
      <w:r w:rsidR="009D29CA">
        <w:rPr>
          <w:rStyle w:val="Emphasis"/>
          <w:i w:val="0"/>
        </w:rPr>
        <w:t xml:space="preserve"> published </w:t>
      </w:r>
      <w:r w:rsidR="00996A2A" w:rsidRPr="008202A1">
        <w:rPr>
          <w:rStyle w:val="Emphasis"/>
          <w:i w:val="0"/>
        </w:rPr>
        <w:t>ahead of the commencement of th</w:t>
      </w:r>
      <w:r w:rsidRPr="008202A1">
        <w:rPr>
          <w:rStyle w:val="Emphasis"/>
          <w:i w:val="0"/>
        </w:rPr>
        <w:t>e secondary consultation period</w:t>
      </w:r>
      <w:r w:rsidR="00996A2A" w:rsidRPr="008202A1">
        <w:rPr>
          <w:rStyle w:val="Emphasis"/>
          <w:i w:val="0"/>
        </w:rPr>
        <w:t xml:space="preserve"> to facilitate timely access</w:t>
      </w:r>
      <w:r w:rsidR="00C80C39" w:rsidRPr="008202A1">
        <w:rPr>
          <w:rStyle w:val="Emphasis"/>
          <w:i w:val="0"/>
        </w:rPr>
        <w:t xml:space="preserve"> and engagement</w:t>
      </w:r>
      <w:r w:rsidR="00996A2A" w:rsidRPr="008202A1">
        <w:rPr>
          <w:rStyle w:val="Emphasis"/>
          <w:i w:val="0"/>
        </w:rPr>
        <w:t xml:space="preserve"> – however, further written representations with regards to them should not be submitted until the secondary consultation begins on 9th February 2022.</w:t>
      </w:r>
    </w:p>
    <w:p w14:paraId="52570A30" w14:textId="702EA4CF" w:rsidR="00484FCF" w:rsidRDefault="00484FCF" w:rsidP="00AB0C17">
      <w:pPr>
        <w:pStyle w:val="MainBody"/>
        <w:rPr>
          <w:rStyle w:val="Emphasis"/>
          <w:i w:val="0"/>
        </w:rPr>
      </w:pPr>
    </w:p>
    <w:p w14:paraId="48757D14" w14:textId="77777777" w:rsidR="00484FCF" w:rsidRPr="008202A1" w:rsidRDefault="00484FCF" w:rsidP="00AB0C17">
      <w:pPr>
        <w:pStyle w:val="MainBody"/>
        <w:rPr>
          <w:rStyle w:val="Emphasis"/>
          <w:i w:val="0"/>
        </w:rPr>
      </w:pPr>
    </w:p>
    <w:p w14:paraId="76EE24EE" w14:textId="1D515B39" w:rsidR="003861E6" w:rsidRDefault="003861E6" w:rsidP="00CB7017">
      <w:pPr>
        <w:pStyle w:val="Heading3"/>
      </w:pPr>
      <w:r w:rsidRPr="00CB7017">
        <w:lastRenderedPageBreak/>
        <w:t>Secondary Consultation – Written Representations</w:t>
      </w:r>
    </w:p>
    <w:p w14:paraId="55256815" w14:textId="77777777" w:rsidR="00DA4AB0" w:rsidRPr="00DA4AB0" w:rsidRDefault="00DA4AB0" w:rsidP="00DA4AB0"/>
    <w:p w14:paraId="1A9072E6" w14:textId="5562BC6E" w:rsidR="00215796" w:rsidRPr="008202A1" w:rsidRDefault="00215796" w:rsidP="00AB0C17">
      <w:pPr>
        <w:spacing w:line="360" w:lineRule="auto"/>
        <w:rPr>
          <w:rStyle w:val="Emphasis"/>
          <w:rFonts w:cs="Arial"/>
          <w:i w:val="0"/>
        </w:rPr>
      </w:pPr>
      <w:r w:rsidRPr="008202A1">
        <w:rPr>
          <w:rStyle w:val="Emphasis"/>
          <w:rFonts w:cs="Arial"/>
          <w:i w:val="0"/>
        </w:rPr>
        <w:t>The secondary consultation period provides an opportunity</w:t>
      </w:r>
      <w:r w:rsidR="003F6F99" w:rsidRPr="008202A1">
        <w:rPr>
          <w:rStyle w:val="Emphasis"/>
          <w:rFonts w:cs="Arial"/>
          <w:i w:val="0"/>
        </w:rPr>
        <w:t xml:space="preserve"> to submit</w:t>
      </w:r>
      <w:r w:rsidRPr="008202A1">
        <w:rPr>
          <w:rStyle w:val="Emphasis"/>
          <w:rFonts w:cs="Arial"/>
          <w:i w:val="0"/>
        </w:rPr>
        <w:t xml:space="preserve"> </w:t>
      </w:r>
      <w:r w:rsidR="003F6F99" w:rsidRPr="008202A1">
        <w:rPr>
          <w:rStyle w:val="Emphasis"/>
          <w:rFonts w:cs="Arial"/>
          <w:i w:val="0"/>
        </w:rPr>
        <w:t>‘further written representations with respect to the representati</w:t>
      </w:r>
      <w:r w:rsidR="009D29CA">
        <w:rPr>
          <w:rStyle w:val="Emphasis"/>
          <w:rFonts w:cs="Arial"/>
          <w:i w:val="0"/>
        </w:rPr>
        <w:t xml:space="preserve">ons published’ (i.e. those received during </w:t>
      </w:r>
      <w:r w:rsidR="003F6F99" w:rsidRPr="008202A1">
        <w:rPr>
          <w:rStyle w:val="Emphasis"/>
          <w:rFonts w:cs="Arial"/>
          <w:i w:val="0"/>
        </w:rPr>
        <w:t>the initial consultation period)</w:t>
      </w:r>
      <w:r w:rsidRPr="008202A1">
        <w:rPr>
          <w:rStyle w:val="Emphasis"/>
          <w:rFonts w:cs="Arial"/>
          <w:i w:val="0"/>
        </w:rPr>
        <w:t>. Therefore written representations made during the secondary consultation period can support or challenge the representations made by others during the initial consultation.</w:t>
      </w:r>
      <w:r w:rsidR="00D61529" w:rsidRPr="008202A1">
        <w:rPr>
          <w:rStyle w:val="Emphasis"/>
          <w:rFonts w:cs="Arial"/>
          <w:i w:val="0"/>
        </w:rPr>
        <w:t xml:space="preserve"> </w:t>
      </w:r>
    </w:p>
    <w:p w14:paraId="188DE066" w14:textId="0525A48F" w:rsidR="00B338A8" w:rsidRPr="00B338A8" w:rsidRDefault="00B338A8" w:rsidP="008202A1">
      <w:pPr>
        <w:spacing w:line="360" w:lineRule="auto"/>
      </w:pPr>
    </w:p>
    <w:p w14:paraId="10B4363A" w14:textId="45A87A35" w:rsidR="000A178B" w:rsidRDefault="00B338A8" w:rsidP="008202A1">
      <w:pPr>
        <w:spacing w:line="360" w:lineRule="auto"/>
      </w:pPr>
      <w:r>
        <w:t xml:space="preserve">The </w:t>
      </w:r>
      <w:r w:rsidRPr="00B338A8">
        <w:t xml:space="preserve">written representations from the initial consultation period </w:t>
      </w:r>
      <w:r w:rsidR="000A178B">
        <w:t>have been published</w:t>
      </w:r>
      <w:r w:rsidR="009D29CA">
        <w:t xml:space="preserve"> at</w:t>
      </w:r>
      <w:r>
        <w:t xml:space="preserve"> </w:t>
      </w:r>
      <w:hyperlink r:id="rId9" w:history="1">
        <w:r w:rsidR="009D29CA" w:rsidRPr="00FF342F">
          <w:rPr>
            <w:rStyle w:val="Hyperlink"/>
          </w:rPr>
          <w:t>https://www.boundarycommission.org.uk/2023-review/representations-received/stage/initial</w:t>
        </w:r>
      </w:hyperlink>
      <w:r w:rsidR="00DE1211">
        <w:t xml:space="preserve">. </w:t>
      </w:r>
      <w:r>
        <w:t>A response template for further representations with respect to those</w:t>
      </w:r>
      <w:r w:rsidR="000A178B">
        <w:t xml:space="preserve"> initial representations</w:t>
      </w:r>
      <w:r w:rsidR="00DE1211">
        <w:t xml:space="preserve"> will be made available on our website when the consultation opens. </w:t>
      </w:r>
      <w:r w:rsidR="000A178B">
        <w:t>These further representations</w:t>
      </w:r>
      <w:r>
        <w:t xml:space="preserve"> </w:t>
      </w:r>
      <w:r w:rsidR="000A178B">
        <w:t xml:space="preserve">should be received by </w:t>
      </w:r>
      <w:r w:rsidRPr="00B338A8">
        <w:t xml:space="preserve">the Commission </w:t>
      </w:r>
      <w:r>
        <w:t>between 9</w:t>
      </w:r>
      <w:r w:rsidRPr="00B338A8">
        <w:rPr>
          <w:vertAlign w:val="superscript"/>
        </w:rPr>
        <w:t>th</w:t>
      </w:r>
      <w:r w:rsidR="00EF741A">
        <w:t xml:space="preserve"> February </w:t>
      </w:r>
      <w:r>
        <w:t>and 23</w:t>
      </w:r>
      <w:r w:rsidRPr="00B338A8">
        <w:rPr>
          <w:vertAlign w:val="superscript"/>
        </w:rPr>
        <w:t>rd</w:t>
      </w:r>
      <w:r>
        <w:t xml:space="preserve"> March 2022, </w:t>
      </w:r>
      <w:r w:rsidR="00C17234">
        <w:t xml:space="preserve">using the email address </w:t>
      </w:r>
      <w:hyperlink r:id="rId10" w:history="1">
        <w:r w:rsidR="000A178B" w:rsidRPr="000F316D">
          <w:rPr>
            <w:rStyle w:val="Hyperlink"/>
          </w:rPr>
          <w:t>review@boundarycommission.org.uk</w:t>
        </w:r>
      </w:hyperlink>
      <w:r w:rsidR="00C17234">
        <w:rPr>
          <w:rStyle w:val="Hyperlink"/>
        </w:rPr>
        <w:t>.</w:t>
      </w:r>
      <w:r w:rsidR="00C17234">
        <w:t xml:space="preserve"> </w:t>
      </w:r>
      <w:r w:rsidR="000A178B">
        <w:t>If you require copies of the initial representations i</w:t>
      </w:r>
      <w:r w:rsidR="00C17234">
        <w:t>n an alternative format, or you wish to submit a hard copy of your written representation</w:t>
      </w:r>
      <w:r w:rsidR="000A178B">
        <w:t xml:space="preserve">, </w:t>
      </w:r>
      <w:r w:rsidR="00C17234">
        <w:t>please get in touch with us</w:t>
      </w:r>
      <w:r w:rsidR="000A178B">
        <w:t xml:space="preserve"> by phone on </w:t>
      </w:r>
      <w:r w:rsidR="000A178B" w:rsidRPr="004D643D">
        <w:t>028 90 527821</w:t>
      </w:r>
      <w:r w:rsidR="000A178B">
        <w:t xml:space="preserve"> or by email to </w:t>
      </w:r>
      <w:hyperlink r:id="rId11" w:history="1">
        <w:r w:rsidR="000A178B" w:rsidRPr="000F316D">
          <w:rPr>
            <w:rStyle w:val="Hyperlink"/>
          </w:rPr>
          <w:t>contact@boundarycommission.org.uk</w:t>
        </w:r>
      </w:hyperlink>
      <w:r w:rsidR="000A178B">
        <w:t>.</w:t>
      </w:r>
    </w:p>
    <w:p w14:paraId="51EF8D16" w14:textId="3A052EFC" w:rsidR="00B338A8" w:rsidRDefault="00B338A8" w:rsidP="000A178B">
      <w:pPr>
        <w:spacing w:line="360" w:lineRule="auto"/>
        <w:rPr>
          <w:b/>
          <w:color w:val="7030A0"/>
        </w:rPr>
      </w:pPr>
    </w:p>
    <w:p w14:paraId="267CC8FF" w14:textId="224D0614" w:rsidR="008202A1" w:rsidRDefault="003861E6" w:rsidP="00212585">
      <w:pPr>
        <w:pStyle w:val="Heading3"/>
      </w:pPr>
      <w:r w:rsidRPr="003861E6">
        <w:t>Secondary Consultation – Public Hearings</w:t>
      </w:r>
    </w:p>
    <w:p w14:paraId="7FEEE78E" w14:textId="77777777" w:rsidR="00DA4AB0" w:rsidRPr="00DA4AB0" w:rsidRDefault="00DA4AB0" w:rsidP="00DA4AB0"/>
    <w:p w14:paraId="4C84866A" w14:textId="03DB1E66" w:rsidR="001519FF" w:rsidRDefault="00215796" w:rsidP="008202A1">
      <w:pPr>
        <w:spacing w:line="360" w:lineRule="auto"/>
      </w:pPr>
      <w:r>
        <w:t xml:space="preserve">The Commission is also required to hold public hearings during the secondary consultation period. </w:t>
      </w:r>
      <w:r w:rsidR="003F6F99">
        <w:t>The Act states</w:t>
      </w:r>
      <w:r w:rsidR="008D2DCD">
        <w:t xml:space="preserve"> at Schedule 2A</w:t>
      </w:r>
      <w:r w:rsidR="003F6F99">
        <w:t xml:space="preserve"> that ‘</w:t>
      </w:r>
      <w:r w:rsidR="003F6F99" w:rsidRPr="003861E6">
        <w:rPr>
          <w:i/>
        </w:rPr>
        <w:t>the public hearings in Northern Ireland shall be concerned with proposals for Northern Ireland, and shall between them cover the whole of Northern Ireland</w:t>
      </w:r>
      <w:r w:rsidR="003F6F99" w:rsidRPr="003F6F99">
        <w:t>.</w:t>
      </w:r>
      <w:r w:rsidR="003F6F99">
        <w:t xml:space="preserve">’ </w:t>
      </w:r>
      <w:r w:rsidR="008D2DCD">
        <w:t xml:space="preserve">The complete text of Schedule 2A can be found at Appendix 1. </w:t>
      </w:r>
    </w:p>
    <w:p w14:paraId="0829F0FF" w14:textId="77777777" w:rsidR="008F411C" w:rsidRDefault="008F411C" w:rsidP="008202A1">
      <w:pPr>
        <w:spacing w:line="360" w:lineRule="auto"/>
      </w:pPr>
    </w:p>
    <w:p w14:paraId="7AC7F139" w14:textId="157BE172" w:rsidR="00E77A20" w:rsidRDefault="00215796" w:rsidP="008202A1">
      <w:pPr>
        <w:spacing w:line="360" w:lineRule="auto"/>
      </w:pPr>
      <w:r w:rsidRPr="00545AA1">
        <w:t xml:space="preserve">Public hearings are </w:t>
      </w:r>
      <w:r w:rsidR="003F6F99">
        <w:t xml:space="preserve">therefore </w:t>
      </w:r>
      <w:r w:rsidRPr="00545AA1">
        <w:t>intended to provide an opportunity to make oral representations about any of the Commission’s initial proposals, and to present</w:t>
      </w:r>
      <w:r w:rsidR="003F6F99">
        <w:t xml:space="preserve"> or comment on</w:t>
      </w:r>
      <w:r w:rsidRPr="00545AA1">
        <w:t xml:space="preserve"> any counterproposals.</w:t>
      </w:r>
      <w:r>
        <w:t xml:space="preserve"> </w:t>
      </w:r>
    </w:p>
    <w:p w14:paraId="76BE7EF2" w14:textId="77777777" w:rsidR="00E77A20" w:rsidRDefault="00E77A20" w:rsidP="00E77A20">
      <w:pPr>
        <w:spacing w:line="360" w:lineRule="auto"/>
        <w:ind w:left="-540"/>
      </w:pPr>
    </w:p>
    <w:p w14:paraId="2E1F1B66" w14:textId="77733564" w:rsidR="00E77A20" w:rsidRDefault="00E77A20" w:rsidP="004A32D4">
      <w:pPr>
        <w:spacing w:line="360" w:lineRule="auto"/>
      </w:pPr>
      <w:r w:rsidRPr="00E77A20">
        <w:t xml:space="preserve">The Commission has appointed an independent Chair for each of the public hearings. It is for the Chair to determine the procedure that is to govern the hearing and ensure its </w:t>
      </w:r>
      <w:r w:rsidRPr="00E77A20">
        <w:lastRenderedPageBreak/>
        <w:t>effective operation, in line with the legislation. The Chair is not required to submit a report or recommendations relating to the hearing to the Commission.</w:t>
      </w:r>
    </w:p>
    <w:p w14:paraId="19D431FE" w14:textId="7C8EB011" w:rsidR="00E77A20" w:rsidRDefault="00E77A20" w:rsidP="004A32D4">
      <w:pPr>
        <w:spacing w:line="360" w:lineRule="auto"/>
      </w:pPr>
    </w:p>
    <w:p w14:paraId="00F38E9E" w14:textId="280D8821" w:rsidR="00E77A20" w:rsidRDefault="00E77A20" w:rsidP="004A32D4">
      <w:pPr>
        <w:spacing w:line="360" w:lineRule="auto"/>
      </w:pPr>
      <w:r>
        <w:t>In line with the legislation, t</w:t>
      </w:r>
      <w:r w:rsidRPr="00E77A20">
        <w:t>he Chair will allow representations to be made by qualifying political parties</w:t>
      </w:r>
      <w:r>
        <w:rPr>
          <w:rStyle w:val="FootnoteReference"/>
        </w:rPr>
        <w:footnoteReference w:id="1"/>
      </w:r>
      <w:r w:rsidRPr="00E77A20">
        <w:t xml:space="preserve"> and other individuals or organisations</w:t>
      </w:r>
      <w:r>
        <w:t xml:space="preserve"> that the Chair considers have</w:t>
      </w:r>
      <w:r w:rsidRPr="00E77A20">
        <w:t xml:space="preserve"> an interest in the proposals. </w:t>
      </w:r>
      <w:r>
        <w:t>The Chair may restrict the amount of time available for representations, and may determine the order in which representations are made.</w:t>
      </w:r>
    </w:p>
    <w:p w14:paraId="5F56B9CE" w14:textId="77777777" w:rsidR="00E77A20" w:rsidRDefault="00E77A20" w:rsidP="001824A0">
      <w:pPr>
        <w:pStyle w:val="Heading20"/>
      </w:pPr>
    </w:p>
    <w:p w14:paraId="4285CCFE" w14:textId="16C1660C" w:rsidR="004A32D4" w:rsidRDefault="00DA4AB0" w:rsidP="00212585">
      <w:pPr>
        <w:pStyle w:val="Heading3"/>
      </w:pPr>
      <w:r>
        <w:t>After the Secondary Consultation</w:t>
      </w:r>
    </w:p>
    <w:p w14:paraId="14749927" w14:textId="77777777" w:rsidR="00DA4AB0" w:rsidRPr="00DA4AB0" w:rsidRDefault="00DA4AB0" w:rsidP="00DA4AB0"/>
    <w:p w14:paraId="5062CB15" w14:textId="219CFA7B" w:rsidR="00C55EAE" w:rsidRDefault="00AD29E6" w:rsidP="004A32D4">
      <w:pPr>
        <w:spacing w:line="360" w:lineRule="auto"/>
      </w:pPr>
      <w:r w:rsidRPr="00485DDD">
        <w:t xml:space="preserve">After the end of the secondary consultation period, the Commission will publish </w:t>
      </w:r>
      <w:r w:rsidR="00F01DE7">
        <w:t xml:space="preserve">the </w:t>
      </w:r>
      <w:r w:rsidR="00F01DE7" w:rsidRPr="00F01DE7">
        <w:t xml:space="preserve">records of the public hearings </w:t>
      </w:r>
      <w:r w:rsidR="00F01DE7">
        <w:t>on our</w:t>
      </w:r>
      <w:r w:rsidR="00F01DE7" w:rsidRPr="00F01DE7">
        <w:t xml:space="preserve"> website</w:t>
      </w:r>
      <w:r w:rsidR="00F01DE7">
        <w:t>. We will also publish</w:t>
      </w:r>
      <w:r w:rsidRPr="00485DDD">
        <w:t xml:space="preserve"> the written representations received during the</w:t>
      </w:r>
      <w:r w:rsidR="00F01DE7">
        <w:t xml:space="preserve"> secondary consultation period.</w:t>
      </w:r>
      <w:r w:rsidR="00C55EAE" w:rsidRPr="00C55EAE">
        <w:t xml:space="preserve"> </w:t>
      </w:r>
      <w:r w:rsidR="00C55EAE">
        <w:t xml:space="preserve">For information about our Data Protection and Privacy Policy please visit </w:t>
      </w:r>
      <w:hyperlink r:id="rId12" w:history="1">
        <w:r w:rsidR="00C55EAE" w:rsidRPr="0078551B">
          <w:rPr>
            <w:rStyle w:val="Hyperlink"/>
          </w:rPr>
          <w:t>https://www.boundarycommission.org.uk/publications/data-protection-and-privacy-policy</w:t>
        </w:r>
      </w:hyperlink>
      <w:r w:rsidR="00C55EAE">
        <w:t xml:space="preserve">. </w:t>
      </w:r>
      <w:r w:rsidR="00F01DE7">
        <w:t xml:space="preserve"> </w:t>
      </w:r>
    </w:p>
    <w:p w14:paraId="51641CD6" w14:textId="77777777" w:rsidR="00C55EAE" w:rsidRDefault="00C55EAE" w:rsidP="004A32D4">
      <w:pPr>
        <w:spacing w:line="360" w:lineRule="auto"/>
      </w:pPr>
    </w:p>
    <w:p w14:paraId="64C62E14" w14:textId="71C2EC02" w:rsidR="009A6A41" w:rsidRPr="00C55EAE" w:rsidRDefault="00AD29E6" w:rsidP="004A32D4">
      <w:pPr>
        <w:spacing w:line="360" w:lineRule="auto"/>
        <w:rPr>
          <w:rStyle w:val="Hyperlink"/>
          <w:color w:val="auto"/>
          <w:u w:val="none"/>
        </w:rPr>
      </w:pPr>
      <w:r w:rsidRPr="00485DDD">
        <w:t xml:space="preserve">Detailed information about the third consultation period will be announced </w:t>
      </w:r>
      <w:r>
        <w:t>at the appropriate time</w:t>
      </w:r>
      <w:r w:rsidRPr="00485DDD">
        <w:t>.</w:t>
      </w:r>
      <w:r>
        <w:t xml:space="preserve"> For further detailed information about the statutory process, please see the Guide to the 2023 Review</w:t>
      </w:r>
      <w:r w:rsidRPr="00AD29E6">
        <w:t xml:space="preserve">, which is available at </w:t>
      </w:r>
      <w:hyperlink r:id="rId13" w:history="1">
        <w:r w:rsidR="00061BEA" w:rsidRPr="00EC30C4">
          <w:rPr>
            <w:rStyle w:val="Hyperlink"/>
          </w:rPr>
          <w:t>www.boundarycommission.org.uk/publications/guide-2023-review</w:t>
        </w:r>
      </w:hyperlink>
      <w:r w:rsidR="009E3FDE">
        <w:rPr>
          <w:rStyle w:val="Hyperlink"/>
        </w:rPr>
        <w:t>.</w:t>
      </w:r>
    </w:p>
    <w:p w14:paraId="1E3DFB92" w14:textId="1DA24733" w:rsidR="00484FCF" w:rsidRPr="00484FCF" w:rsidRDefault="00484FCF" w:rsidP="00484FCF"/>
    <w:p w14:paraId="6F08844A" w14:textId="77777777" w:rsidR="00AC0658" w:rsidRDefault="00AC0658">
      <w:pPr>
        <w:spacing w:after="160" w:line="259" w:lineRule="auto"/>
        <w:rPr>
          <w:rFonts w:eastAsiaTheme="majorEastAsia" w:cstheme="majorBidi"/>
          <w:b/>
          <w:color w:val="1F4E79" w:themeColor="accent1" w:themeShade="80"/>
          <w:sz w:val="32"/>
          <w:szCs w:val="26"/>
        </w:rPr>
      </w:pPr>
      <w:r>
        <w:br w:type="page"/>
      </w:r>
    </w:p>
    <w:p w14:paraId="53B11D9F" w14:textId="62338F2C" w:rsidR="00C064A4" w:rsidRPr="00AC0658" w:rsidRDefault="00C064A4" w:rsidP="00AC0658">
      <w:pPr>
        <w:pStyle w:val="Heading2"/>
      </w:pPr>
      <w:r w:rsidRPr="00AC0658">
        <w:lastRenderedPageBreak/>
        <w:t>Public Hearings</w:t>
      </w:r>
    </w:p>
    <w:p w14:paraId="7B479F13" w14:textId="77777777" w:rsidR="008F411C" w:rsidRPr="008F411C" w:rsidRDefault="008F411C" w:rsidP="008F411C"/>
    <w:p w14:paraId="0F489237" w14:textId="2A95A583" w:rsidR="000B1D42" w:rsidRDefault="009A6A41" w:rsidP="00F01DE7">
      <w:pPr>
        <w:spacing w:line="360" w:lineRule="auto"/>
      </w:pPr>
      <w:r>
        <w:t>The secondary</w:t>
      </w:r>
      <w:r w:rsidR="00C064A4">
        <w:t xml:space="preserve"> consultation period, during which the public hearing</w:t>
      </w:r>
      <w:r w:rsidR="003861E6">
        <w:t>s</w:t>
      </w:r>
      <w:r w:rsidR="00C064A4">
        <w:t xml:space="preserve"> occur, will begin on 9</w:t>
      </w:r>
      <w:r w:rsidR="00C064A4" w:rsidRPr="00C064A4">
        <w:t>th</w:t>
      </w:r>
      <w:r w:rsidR="00C064A4">
        <w:t xml:space="preserve"> February 2022 and end on 23</w:t>
      </w:r>
      <w:r w:rsidR="00C064A4" w:rsidRPr="00C064A4">
        <w:rPr>
          <w:vertAlign w:val="superscript"/>
        </w:rPr>
        <w:t>rd</w:t>
      </w:r>
      <w:r w:rsidR="00C064A4">
        <w:t xml:space="preserve"> March 2022. </w:t>
      </w:r>
      <w:r w:rsidR="00C064A4" w:rsidRPr="00C064A4">
        <w:t xml:space="preserve">The Commission </w:t>
      </w:r>
      <w:r w:rsidR="00C064A4">
        <w:t>will hold three public hearings during this period</w:t>
      </w:r>
      <w:r w:rsidR="00F01DE7">
        <w:t xml:space="preserve"> – </w:t>
      </w:r>
      <w:r w:rsidR="00F01DE7" w:rsidRPr="004D643D">
        <w:t>details of the dates</w:t>
      </w:r>
      <w:r w:rsidR="008F411C">
        <w:t>, times</w:t>
      </w:r>
      <w:r w:rsidR="00F01DE7" w:rsidRPr="004D643D">
        <w:t xml:space="preserve"> and venues for these hearings will be published on 9</w:t>
      </w:r>
      <w:r w:rsidR="00F01DE7" w:rsidRPr="004D643D">
        <w:rPr>
          <w:vertAlign w:val="superscript"/>
        </w:rPr>
        <w:t>th</w:t>
      </w:r>
      <w:r w:rsidR="00F01DE7" w:rsidRPr="004D643D">
        <w:t xml:space="preserve"> February</w:t>
      </w:r>
      <w:r w:rsidR="003E43A4">
        <w:t xml:space="preserve">. </w:t>
      </w:r>
      <w:r w:rsidR="000B1D42">
        <w:t>Representations about any or a</w:t>
      </w:r>
      <w:r w:rsidR="00C064A4">
        <w:t>ll proposed constituencies can</w:t>
      </w:r>
      <w:r w:rsidR="000B1D42">
        <w:t xml:space="preserve"> be made at any of the public hearings</w:t>
      </w:r>
      <w:r w:rsidR="003861E6">
        <w:t xml:space="preserve"> – you may therefore attend any of the public hearings and make </w:t>
      </w:r>
      <w:r w:rsidR="00B9081F">
        <w:t xml:space="preserve">oral </w:t>
      </w:r>
      <w:r w:rsidR="003861E6">
        <w:t>representations about any constituency</w:t>
      </w:r>
      <w:r w:rsidR="00E14797">
        <w:t xml:space="preserve">. </w:t>
      </w:r>
    </w:p>
    <w:p w14:paraId="5E64D8D6" w14:textId="77777777" w:rsidR="00243298" w:rsidRDefault="00243298" w:rsidP="00CD19E7">
      <w:pPr>
        <w:pStyle w:val="Default"/>
        <w:spacing w:line="360" w:lineRule="auto"/>
        <w:rPr>
          <w:rFonts w:ascii="Arial" w:hAnsi="Arial"/>
        </w:rPr>
      </w:pPr>
    </w:p>
    <w:p w14:paraId="7798B3BB" w14:textId="2E9737EA" w:rsidR="00DB5BA8" w:rsidRDefault="0006568D" w:rsidP="00AB0C17">
      <w:pPr>
        <w:spacing w:line="360" w:lineRule="auto"/>
      </w:pPr>
      <w:r w:rsidRPr="0006568D">
        <w:t>The Commission will follow any relevant public health guidanc</w:t>
      </w:r>
      <w:r>
        <w:t xml:space="preserve">e applicable at the time of the </w:t>
      </w:r>
      <w:r w:rsidR="00387265">
        <w:t>public hearings. Should COVID-19 restrictions impact plans for the public hearings, we will communicate this via our website and social media (and directly to those who have registered) as soon as possible.</w:t>
      </w:r>
    </w:p>
    <w:p w14:paraId="74EF213F" w14:textId="77777777" w:rsidR="00AB0C17" w:rsidRDefault="00AB0C17" w:rsidP="00AB0C17">
      <w:pPr>
        <w:spacing w:line="360" w:lineRule="auto"/>
      </w:pPr>
    </w:p>
    <w:p w14:paraId="6A31989F" w14:textId="7950DA0A" w:rsidR="00174164" w:rsidRDefault="00610826" w:rsidP="00AC0658">
      <w:pPr>
        <w:pStyle w:val="Heading3"/>
      </w:pPr>
      <w:r>
        <w:t>Attendance at the hearings</w:t>
      </w:r>
    </w:p>
    <w:p w14:paraId="325DB02A" w14:textId="77777777" w:rsidR="006C3623" w:rsidRPr="006C3623" w:rsidRDefault="006C3623" w:rsidP="006C3623"/>
    <w:p w14:paraId="0EADDEDA" w14:textId="77777777" w:rsidR="00DA1639" w:rsidRDefault="00DB5BA8" w:rsidP="006C3623">
      <w:pPr>
        <w:spacing w:line="360" w:lineRule="auto"/>
      </w:pPr>
      <w:bookmarkStart w:id="2" w:name="_Hlk82084896"/>
      <w:r w:rsidRPr="001519FF">
        <w:rPr>
          <w:rFonts w:cs="Arial"/>
        </w:rPr>
        <w:t>The public hearings for the 2023 Review will allow for representations to be made both in-person, and via video link</w:t>
      </w:r>
      <w:r w:rsidR="00387265">
        <w:rPr>
          <w:rFonts w:cs="Arial"/>
        </w:rPr>
        <w:t xml:space="preserve"> (subject to any public health restrictions at the time of the hearing</w:t>
      </w:r>
      <w:r w:rsidR="00A85A15">
        <w:rPr>
          <w:rFonts w:cs="Arial"/>
        </w:rPr>
        <w:t>s</w:t>
      </w:r>
      <w:r w:rsidR="00387265">
        <w:rPr>
          <w:rFonts w:cs="Arial"/>
        </w:rPr>
        <w:t>)</w:t>
      </w:r>
      <w:r w:rsidRPr="001519FF">
        <w:rPr>
          <w:rFonts w:cs="Arial"/>
        </w:rPr>
        <w:t xml:space="preserve">. </w:t>
      </w:r>
      <w:r w:rsidRPr="001519FF">
        <w:rPr>
          <w:rFonts w:eastAsiaTheme="minorHAnsi" w:cs="Arial"/>
          <w:lang w:eastAsia="en-US"/>
        </w:rPr>
        <w:t>To ensure the hearings run smoothly, as well as to ensure the accuracy of the statutory record</w:t>
      </w:r>
      <w:r w:rsidR="0092015A" w:rsidRPr="0092015A">
        <w:t xml:space="preserve">, </w:t>
      </w:r>
      <w:r w:rsidRPr="0092015A">
        <w:t xml:space="preserve">those interested parties wishing to attend any of the public hearings </w:t>
      </w:r>
      <w:r w:rsidR="0092015A">
        <w:t>whether in person</w:t>
      </w:r>
      <w:r w:rsidRPr="0092015A">
        <w:t xml:space="preserve"> or online, are asked to register their attendance in advance</w:t>
      </w:r>
      <w:bookmarkEnd w:id="2"/>
      <w:r w:rsidRPr="0092015A">
        <w:t>.</w:t>
      </w:r>
      <w:r w:rsidR="0092015A">
        <w:t xml:space="preserve"> </w:t>
      </w:r>
    </w:p>
    <w:p w14:paraId="3329F1CE" w14:textId="77777777" w:rsidR="00DA1639" w:rsidRDefault="00DA1639" w:rsidP="006C3623">
      <w:pPr>
        <w:spacing w:line="360" w:lineRule="auto"/>
      </w:pPr>
    </w:p>
    <w:p w14:paraId="16291AAD" w14:textId="3A386E52" w:rsidR="00AB0C17" w:rsidRPr="008F411C" w:rsidRDefault="00F01DE7" w:rsidP="006C3623">
      <w:pPr>
        <w:spacing w:line="360" w:lineRule="auto"/>
        <w:rPr>
          <w:rFonts w:cs="Arial"/>
        </w:rPr>
      </w:pPr>
      <w:r w:rsidRPr="004D643D">
        <w:rPr>
          <w:rFonts w:eastAsiaTheme="minorHAnsi" w:cs="Arial"/>
          <w:lang w:eastAsia="en-US"/>
        </w:rPr>
        <w:t>Once the dates and venues for the hearings have been announced on 9</w:t>
      </w:r>
      <w:r w:rsidRPr="004D643D">
        <w:rPr>
          <w:rFonts w:eastAsiaTheme="minorHAnsi" w:cs="Arial"/>
          <w:vertAlign w:val="superscript"/>
          <w:lang w:eastAsia="en-US"/>
        </w:rPr>
        <w:t>th</w:t>
      </w:r>
      <w:r w:rsidRPr="004D643D">
        <w:rPr>
          <w:rFonts w:eastAsiaTheme="minorHAnsi" w:cs="Arial"/>
          <w:lang w:eastAsia="en-US"/>
        </w:rPr>
        <w:t xml:space="preserve"> February,</w:t>
      </w:r>
      <w:r>
        <w:rPr>
          <w:rFonts w:eastAsiaTheme="minorHAnsi" w:cs="Arial"/>
          <w:lang w:eastAsia="en-US"/>
        </w:rPr>
        <w:t xml:space="preserve"> </w:t>
      </w:r>
      <w:r w:rsidR="00990436" w:rsidRPr="001519FF">
        <w:rPr>
          <w:rFonts w:eastAsiaTheme="minorHAnsi" w:cs="Arial"/>
          <w:lang w:eastAsia="en-US"/>
        </w:rPr>
        <w:t>you can contact us to register</w:t>
      </w:r>
      <w:r w:rsidR="008F411C">
        <w:rPr>
          <w:rFonts w:eastAsiaTheme="minorHAnsi" w:cs="Arial"/>
          <w:lang w:eastAsia="en-US"/>
        </w:rPr>
        <w:t xml:space="preserve"> by calling</w:t>
      </w:r>
      <w:r w:rsidR="008F411C">
        <w:rPr>
          <w:rFonts w:cs="Arial"/>
        </w:rPr>
        <w:t xml:space="preserve"> </w:t>
      </w:r>
      <w:r w:rsidR="00174164" w:rsidRPr="004D643D">
        <w:t>028 90527821</w:t>
      </w:r>
      <w:r w:rsidR="008F411C">
        <w:rPr>
          <w:rFonts w:cs="Arial"/>
        </w:rPr>
        <w:t xml:space="preserve"> or by emailing </w:t>
      </w:r>
      <w:hyperlink r:id="rId14" w:history="1">
        <w:r w:rsidR="00484FCF" w:rsidRPr="004D643D">
          <w:rPr>
            <w:rStyle w:val="Hyperlink"/>
          </w:rPr>
          <w:t>review@boundarycommission.org.uk</w:t>
        </w:r>
      </w:hyperlink>
      <w:r w:rsidR="008F411C">
        <w:rPr>
          <w:rStyle w:val="Hyperlink"/>
        </w:rPr>
        <w:t>.</w:t>
      </w:r>
      <w:r w:rsidR="008F411C">
        <w:rPr>
          <w:rStyle w:val="Hyperlink"/>
          <w:rFonts w:cs="Arial"/>
          <w:color w:val="auto"/>
          <w:u w:val="none"/>
        </w:rPr>
        <w:t xml:space="preserve"> </w:t>
      </w:r>
      <w:r w:rsidR="00B2399A">
        <w:t>We would be grateful for registrations no less than</w:t>
      </w:r>
      <w:r w:rsidR="00B8152D">
        <w:t xml:space="preserve"> one week before the date of your</w:t>
      </w:r>
      <w:r w:rsidR="00B2399A">
        <w:t xml:space="preserve"> preferre</w:t>
      </w:r>
      <w:r w:rsidR="008F411C">
        <w:t>d hearing in order to ensure its smooth running</w:t>
      </w:r>
      <w:r w:rsidR="00B2399A">
        <w:t xml:space="preserve">. </w:t>
      </w:r>
    </w:p>
    <w:p w14:paraId="5B1ECBE1" w14:textId="77777777" w:rsidR="00AB0C17" w:rsidRDefault="00AB0C17" w:rsidP="006C3623">
      <w:pPr>
        <w:spacing w:line="360" w:lineRule="auto"/>
      </w:pPr>
    </w:p>
    <w:p w14:paraId="2B754B95" w14:textId="59C99C35" w:rsidR="00174164" w:rsidRDefault="00A1197C" w:rsidP="006C3623">
      <w:pPr>
        <w:spacing w:line="360" w:lineRule="auto"/>
      </w:pPr>
      <w:r>
        <w:t>When you contact us to register, we request</w:t>
      </w:r>
      <w:r w:rsidR="00174164">
        <w:t xml:space="preserve"> that you provide the following information:</w:t>
      </w:r>
    </w:p>
    <w:p w14:paraId="267A858E" w14:textId="77777777" w:rsidR="0092015A" w:rsidRDefault="0092015A" w:rsidP="006C3623">
      <w:pPr>
        <w:spacing w:line="360" w:lineRule="auto"/>
      </w:pPr>
    </w:p>
    <w:p w14:paraId="4DE15B82" w14:textId="01836B46" w:rsidR="00174164" w:rsidRPr="00DA3998" w:rsidRDefault="00174164" w:rsidP="00E536F6">
      <w:pPr>
        <w:pStyle w:val="ListParagraph"/>
        <w:numPr>
          <w:ilvl w:val="0"/>
          <w:numId w:val="8"/>
        </w:numPr>
        <w:spacing w:line="360" w:lineRule="auto"/>
        <w:rPr>
          <w:rFonts w:cs="Arial"/>
        </w:rPr>
      </w:pPr>
      <w:r w:rsidRPr="00DA3998">
        <w:rPr>
          <w:rFonts w:cs="Arial"/>
        </w:rPr>
        <w:t>Your name</w:t>
      </w:r>
    </w:p>
    <w:p w14:paraId="29B7003F" w14:textId="673D0B47" w:rsidR="00B9081F" w:rsidRPr="00DA3998" w:rsidRDefault="00B9081F" w:rsidP="00E536F6">
      <w:pPr>
        <w:pStyle w:val="ListParagraph"/>
        <w:numPr>
          <w:ilvl w:val="0"/>
          <w:numId w:val="8"/>
        </w:numPr>
        <w:spacing w:line="360" w:lineRule="auto"/>
        <w:rPr>
          <w:rFonts w:cs="Arial"/>
        </w:rPr>
      </w:pPr>
      <w:r w:rsidRPr="00DA3998">
        <w:rPr>
          <w:rFonts w:cs="Arial"/>
        </w:rPr>
        <w:t>The organisation you represent (if any)</w:t>
      </w:r>
    </w:p>
    <w:p w14:paraId="713CDC26" w14:textId="771DEB42" w:rsidR="00212D96" w:rsidRPr="0092015A" w:rsidRDefault="00B9081F" w:rsidP="00A36DBD">
      <w:pPr>
        <w:pStyle w:val="ListParagraph"/>
        <w:numPr>
          <w:ilvl w:val="0"/>
          <w:numId w:val="8"/>
        </w:numPr>
        <w:spacing w:line="360" w:lineRule="auto"/>
        <w:rPr>
          <w:rFonts w:cs="Arial"/>
        </w:rPr>
      </w:pPr>
      <w:r w:rsidRPr="0092015A">
        <w:rPr>
          <w:rFonts w:cs="Arial"/>
        </w:rPr>
        <w:t xml:space="preserve">Preferred </w:t>
      </w:r>
      <w:r w:rsidR="0092015A" w:rsidRPr="0092015A">
        <w:rPr>
          <w:rFonts w:cs="Arial"/>
        </w:rPr>
        <w:t>contact details</w:t>
      </w:r>
    </w:p>
    <w:p w14:paraId="41117AE9" w14:textId="10E4B9BE" w:rsidR="00B9081F" w:rsidRPr="00DA3998" w:rsidRDefault="00B9081F" w:rsidP="00E536F6">
      <w:pPr>
        <w:pStyle w:val="ListParagraph"/>
        <w:numPr>
          <w:ilvl w:val="0"/>
          <w:numId w:val="8"/>
        </w:numPr>
        <w:spacing w:line="360" w:lineRule="auto"/>
        <w:rPr>
          <w:rFonts w:cs="Arial"/>
        </w:rPr>
      </w:pPr>
      <w:r w:rsidRPr="00DA3998">
        <w:rPr>
          <w:rFonts w:cs="Arial"/>
        </w:rPr>
        <w:t>The hearing you would like to attend</w:t>
      </w:r>
      <w:r w:rsidR="00A1197C">
        <w:rPr>
          <w:rFonts w:cs="Arial"/>
        </w:rPr>
        <w:t xml:space="preserve">, </w:t>
      </w:r>
      <w:r w:rsidR="00DA3998">
        <w:rPr>
          <w:rFonts w:cs="Arial"/>
        </w:rPr>
        <w:t>and whether you plan to attend in-person</w:t>
      </w:r>
      <w:r w:rsidR="00A1197C">
        <w:rPr>
          <w:rFonts w:cs="Arial"/>
        </w:rPr>
        <w:t xml:space="preserve"> or virtually</w:t>
      </w:r>
    </w:p>
    <w:p w14:paraId="68A91D32" w14:textId="6D838984" w:rsidR="00174164" w:rsidRPr="00DA3998" w:rsidRDefault="00174164" w:rsidP="00E536F6">
      <w:pPr>
        <w:pStyle w:val="ListParagraph"/>
        <w:numPr>
          <w:ilvl w:val="0"/>
          <w:numId w:val="8"/>
        </w:numPr>
        <w:spacing w:line="360" w:lineRule="auto"/>
        <w:rPr>
          <w:rFonts w:cs="Arial"/>
        </w:rPr>
      </w:pPr>
      <w:r w:rsidRPr="00DA3998">
        <w:rPr>
          <w:rFonts w:cs="Arial"/>
        </w:rPr>
        <w:lastRenderedPageBreak/>
        <w:t xml:space="preserve">Whether you wish to </w:t>
      </w:r>
      <w:r w:rsidR="00B9081F" w:rsidRPr="00DA3998">
        <w:rPr>
          <w:rFonts w:cs="Arial"/>
        </w:rPr>
        <w:t>book a slot to make</w:t>
      </w:r>
      <w:r w:rsidRPr="00DA3998">
        <w:rPr>
          <w:rFonts w:cs="Arial"/>
        </w:rPr>
        <w:t xml:space="preserve"> </w:t>
      </w:r>
      <w:r w:rsidR="00B9081F" w:rsidRPr="00DA3998">
        <w:rPr>
          <w:rFonts w:cs="Arial"/>
        </w:rPr>
        <w:t>an oral representation</w:t>
      </w:r>
      <w:r w:rsidR="003E43A4">
        <w:rPr>
          <w:rFonts w:cs="Arial"/>
        </w:rPr>
        <w:t xml:space="preserve">, </w:t>
      </w:r>
      <w:r w:rsidR="006D4934">
        <w:rPr>
          <w:rFonts w:cs="Arial"/>
        </w:rPr>
        <w:t xml:space="preserve">and whether you wish </w:t>
      </w:r>
      <w:r w:rsidR="003E43A4">
        <w:rPr>
          <w:rFonts w:cs="Arial"/>
        </w:rPr>
        <w:t>to use any supporting materials</w:t>
      </w:r>
    </w:p>
    <w:p w14:paraId="2655487A" w14:textId="4799F7B0" w:rsidR="00174164" w:rsidRPr="00DA3998" w:rsidRDefault="00174164" w:rsidP="00E536F6">
      <w:pPr>
        <w:pStyle w:val="ListParagraph"/>
        <w:numPr>
          <w:ilvl w:val="0"/>
          <w:numId w:val="8"/>
        </w:numPr>
        <w:spacing w:line="360" w:lineRule="auto"/>
        <w:rPr>
          <w:rFonts w:cs="Arial"/>
        </w:rPr>
      </w:pPr>
      <w:r w:rsidRPr="00DA3998">
        <w:rPr>
          <w:rFonts w:cs="Arial"/>
        </w:rPr>
        <w:t>Whet</w:t>
      </w:r>
      <w:r w:rsidR="003E43A4">
        <w:rPr>
          <w:rFonts w:cs="Arial"/>
        </w:rPr>
        <w:t xml:space="preserve">her you require a translator or </w:t>
      </w:r>
      <w:r w:rsidRPr="00DA3998">
        <w:rPr>
          <w:rFonts w:cs="Arial"/>
        </w:rPr>
        <w:t>interpreter.</w:t>
      </w:r>
    </w:p>
    <w:p w14:paraId="30CA42AB" w14:textId="77777777" w:rsidR="00174164" w:rsidRDefault="00174164" w:rsidP="00174164">
      <w:pPr>
        <w:spacing w:line="360" w:lineRule="auto"/>
      </w:pPr>
    </w:p>
    <w:p w14:paraId="380A00F0" w14:textId="25174B22" w:rsidR="003C30CF" w:rsidRDefault="00B2399A" w:rsidP="006C3623">
      <w:pPr>
        <w:autoSpaceDE w:val="0"/>
        <w:autoSpaceDN w:val="0"/>
        <w:adjustRightInd w:val="0"/>
        <w:spacing w:line="360" w:lineRule="auto"/>
      </w:pPr>
      <w:r w:rsidRPr="00B8152D">
        <w:t>We will acknowledge receipt of your details, your preferred hearing and whether you wish to attend in-person or virtually. The Commission will then contact you around one week before your preferred hearing to confirm your registration</w:t>
      </w:r>
      <w:r w:rsidR="00B8152D">
        <w:t>, and other arrangements</w:t>
      </w:r>
      <w:r w:rsidRPr="00B8152D">
        <w:t xml:space="preserve">. </w:t>
      </w:r>
      <w:r w:rsidR="00BC4672" w:rsidRPr="00B8152D">
        <w:t>Those who wish to attend in-person will receive details of any relevant public health advice relating to the venue. Those attending virtually will receive details of the video-conferencing arrangements.</w:t>
      </w:r>
    </w:p>
    <w:p w14:paraId="18C45818" w14:textId="77777777" w:rsidR="003C30CF" w:rsidRDefault="003C30CF" w:rsidP="006C3623">
      <w:pPr>
        <w:autoSpaceDE w:val="0"/>
        <w:autoSpaceDN w:val="0"/>
        <w:adjustRightInd w:val="0"/>
        <w:spacing w:line="360" w:lineRule="auto"/>
      </w:pPr>
    </w:p>
    <w:p w14:paraId="3AF5B7B1" w14:textId="31FABC26" w:rsidR="00990436" w:rsidRDefault="00BC4672" w:rsidP="006C3623">
      <w:pPr>
        <w:autoSpaceDE w:val="0"/>
        <w:autoSpaceDN w:val="0"/>
        <w:adjustRightInd w:val="0"/>
        <w:spacing w:line="360" w:lineRule="auto"/>
      </w:pPr>
      <w:r>
        <w:t>Those who have requested a slot to make an oral representation</w:t>
      </w:r>
      <w:r w:rsidR="00F56621">
        <w:t xml:space="preserve"> </w:t>
      </w:r>
      <w:r w:rsidR="00990436">
        <w:t xml:space="preserve">(whether in-person or virtually) </w:t>
      </w:r>
      <w:r w:rsidR="00F56621">
        <w:t>will be p</w:t>
      </w:r>
      <w:r>
        <w:t>rovided with an approximate speaking time</w:t>
      </w:r>
      <w:r w:rsidR="00F56621">
        <w:t xml:space="preserve">. </w:t>
      </w:r>
      <w:r w:rsidR="00990436">
        <w:t xml:space="preserve">In order to facilitate full participation by all who wish to speak, </w:t>
      </w:r>
      <w:r w:rsidR="00571F73">
        <w:t xml:space="preserve">each </w:t>
      </w:r>
      <w:r w:rsidR="00990436">
        <w:t>s</w:t>
      </w:r>
      <w:r w:rsidR="00571F73">
        <w:t>peaker</w:t>
      </w:r>
      <w:r w:rsidR="00990436">
        <w:t xml:space="preserve"> should aim to ensure that their representation can be heard in no more than 15 minutes, subject to the discretion of the Chair.</w:t>
      </w:r>
    </w:p>
    <w:p w14:paraId="57EA772A" w14:textId="67ED4792" w:rsidR="00016176" w:rsidRDefault="00016176" w:rsidP="006C3623">
      <w:pPr>
        <w:spacing w:line="360" w:lineRule="auto"/>
      </w:pPr>
    </w:p>
    <w:p w14:paraId="5A6C657F" w14:textId="670286E3" w:rsidR="00174164" w:rsidRDefault="007F5B28" w:rsidP="006C3623">
      <w:pPr>
        <w:spacing w:line="360" w:lineRule="auto"/>
      </w:pPr>
      <w:r>
        <w:t>The interactive map displaying the Commission’s Initial Proposals will be available on a large screen during each hearing. Speakers may</w:t>
      </w:r>
      <w:r w:rsidR="00F56621">
        <w:t xml:space="preserve"> </w:t>
      </w:r>
      <w:r>
        <w:t xml:space="preserve">also </w:t>
      </w:r>
      <w:r w:rsidR="00F56621">
        <w:t xml:space="preserve">wish to </w:t>
      </w:r>
      <w:r>
        <w:t>use</w:t>
      </w:r>
      <w:r w:rsidR="00F56621">
        <w:t xml:space="preserve"> </w:t>
      </w:r>
      <w:r>
        <w:t>their own supporting materials (such as alternative maps or slides) alongside</w:t>
      </w:r>
      <w:r w:rsidR="00F56621">
        <w:t xml:space="preserve"> their oral representation</w:t>
      </w:r>
      <w:r>
        <w:t xml:space="preserve"> – please </w:t>
      </w:r>
      <w:r w:rsidR="00873999">
        <w:t>let us know when you register if this is the case</w:t>
      </w:r>
      <w:r>
        <w:t>. If</w:t>
      </w:r>
      <w:r w:rsidR="00873999">
        <w:t xml:space="preserve"> you</w:t>
      </w:r>
      <w:r>
        <w:t xml:space="preserve"> wish to have electronic versions of these</w:t>
      </w:r>
      <w:r w:rsidR="00873999">
        <w:t xml:space="preserve"> materials</w:t>
      </w:r>
      <w:r>
        <w:t xml:space="preserve"> displayed during</w:t>
      </w:r>
      <w:r w:rsidR="00873999">
        <w:t xml:space="preserve"> your</w:t>
      </w:r>
      <w:r>
        <w:t xml:space="preserve"> speaking slot, </w:t>
      </w:r>
      <w:r w:rsidR="00873999">
        <w:t>please</w:t>
      </w:r>
      <w:r w:rsidR="00F56621">
        <w:t xml:space="preserve"> provide a copy of the</w:t>
      </w:r>
      <w:r>
        <w:t xml:space="preserve">se </w:t>
      </w:r>
      <w:r w:rsidR="00873999">
        <w:t xml:space="preserve">to the Commission </w:t>
      </w:r>
      <w:r>
        <w:t>in advance of the hearing date</w:t>
      </w:r>
      <w:r w:rsidR="00F56621">
        <w:t xml:space="preserve"> to ensure </w:t>
      </w:r>
      <w:r>
        <w:t xml:space="preserve">the smooth running of the event. </w:t>
      </w:r>
    </w:p>
    <w:p w14:paraId="049303A5" w14:textId="6409E53C" w:rsidR="00D30653" w:rsidRDefault="00D30653" w:rsidP="003128C6">
      <w:pPr>
        <w:spacing w:line="360" w:lineRule="auto"/>
      </w:pPr>
    </w:p>
    <w:p w14:paraId="21D638BF" w14:textId="68C1143E" w:rsidR="00D0411E" w:rsidRDefault="00487F59" w:rsidP="00AC0658">
      <w:pPr>
        <w:pStyle w:val="Heading3"/>
      </w:pPr>
      <w:r w:rsidRPr="004F431D">
        <w:t>Procedure</w:t>
      </w:r>
    </w:p>
    <w:p w14:paraId="5232885B" w14:textId="77777777" w:rsidR="00DA4AB0" w:rsidRPr="00DA4AB0" w:rsidRDefault="00DA4AB0" w:rsidP="00DA4AB0"/>
    <w:p w14:paraId="59D6FE5C" w14:textId="5CC84723" w:rsidR="00F81564" w:rsidRDefault="002D63C6" w:rsidP="00AB0C17">
      <w:pPr>
        <w:spacing w:line="360" w:lineRule="auto"/>
      </w:pPr>
      <w:r w:rsidRPr="002D63C6">
        <w:t>At the beginning of each hearing</w:t>
      </w:r>
      <w:r>
        <w:t>,</w:t>
      </w:r>
      <w:r w:rsidRPr="002D63C6">
        <w:t xml:space="preserve"> the Chair will outline the procedures to be followed. The</w:t>
      </w:r>
      <w:r>
        <w:t xml:space="preserve"> Chair may</w:t>
      </w:r>
      <w:r w:rsidRPr="002D63C6">
        <w:t xml:space="preserve"> then adjourn t</w:t>
      </w:r>
      <w:r>
        <w:t>he proceedings to facilitate any</w:t>
      </w:r>
      <w:r w:rsidRPr="002D63C6">
        <w:t xml:space="preserve"> </w:t>
      </w:r>
      <w:r>
        <w:t xml:space="preserve">final </w:t>
      </w:r>
      <w:r w:rsidRPr="002D63C6">
        <w:t xml:space="preserve">timetabling of speakers.  </w:t>
      </w:r>
      <w:r>
        <w:t xml:space="preserve">In line with the legislation, there will then be </w:t>
      </w:r>
      <w:r w:rsidR="00CD1888" w:rsidRPr="00CD1888">
        <w:t>an explanation of the proposals with which the hearing is concerned, and how written representations may also be made</w:t>
      </w:r>
      <w:r>
        <w:t xml:space="preserve"> during the secondary consultation period</w:t>
      </w:r>
      <w:r w:rsidR="00CD1888" w:rsidRPr="00CD1888">
        <w:t xml:space="preserve">. </w:t>
      </w:r>
    </w:p>
    <w:p w14:paraId="3EE21612" w14:textId="77777777" w:rsidR="00016176" w:rsidRDefault="00016176" w:rsidP="00AB0C17">
      <w:pPr>
        <w:spacing w:line="360" w:lineRule="auto"/>
      </w:pPr>
    </w:p>
    <w:p w14:paraId="3325D27F" w14:textId="5B072D8B" w:rsidR="005C28F1" w:rsidRDefault="00375CFF" w:rsidP="00AB0C17">
      <w:pPr>
        <w:spacing w:line="360" w:lineRule="auto"/>
      </w:pPr>
      <w:r>
        <w:lastRenderedPageBreak/>
        <w:t>The Chair will then call on speakers in turn to make their representation, asking them first</w:t>
      </w:r>
      <w:r w:rsidR="00016176">
        <w:t xml:space="preserve"> to provide their name and</w:t>
      </w:r>
      <w:r>
        <w:t xml:space="preserve"> what organisation they represent (if any). </w:t>
      </w:r>
      <w:r w:rsidR="00F645AE">
        <w:t>The Chair will manage the time that each participant has to speak, and</w:t>
      </w:r>
      <w:r w:rsidR="00CD1888" w:rsidRPr="00CD1888">
        <w:t xml:space="preserve"> (if necessary due to time constraints) who is p</w:t>
      </w:r>
      <w:r w:rsidR="005B7F2C">
        <w:t>e</w:t>
      </w:r>
      <w:r>
        <w:t xml:space="preserve">rmitted to speak. The Chair may </w:t>
      </w:r>
      <w:r w:rsidR="00CD1888" w:rsidRPr="00CD1888">
        <w:t xml:space="preserve">also </w:t>
      </w:r>
      <w:r>
        <w:t>put questions, or allow questions to be put to those present at the hearing, and manage the process of any questioning that occurs.</w:t>
      </w:r>
    </w:p>
    <w:p w14:paraId="3D6B1A11" w14:textId="50D3DF95" w:rsidR="00D30653" w:rsidRDefault="00D30653" w:rsidP="006C3623">
      <w:pPr>
        <w:spacing w:line="360" w:lineRule="auto"/>
      </w:pPr>
    </w:p>
    <w:p w14:paraId="7C94A9AC" w14:textId="01FE186B" w:rsidR="005C28F1" w:rsidRDefault="00D30653" w:rsidP="006C3623">
      <w:pPr>
        <w:spacing w:line="360" w:lineRule="auto"/>
      </w:pPr>
      <w:r>
        <w:t>During the hearing, all devices should be turned off or placed in silent mode</w:t>
      </w:r>
      <w:r w:rsidR="00212D96">
        <w:t xml:space="preserve"> unless </w:t>
      </w:r>
      <w:r w:rsidR="00212D96" w:rsidRPr="0092015A">
        <w:t>using them to facilitate online representations</w:t>
      </w:r>
      <w:r>
        <w:t>. R</w:t>
      </w:r>
      <w:r w:rsidRPr="00D30653">
        <w:t>ecording of th</w:t>
      </w:r>
      <w:r>
        <w:t>e hearing will not be permitted</w:t>
      </w:r>
      <w:r w:rsidRPr="00D30653">
        <w:t xml:space="preserve"> </w:t>
      </w:r>
      <w:r>
        <w:t>(</w:t>
      </w:r>
      <w:r w:rsidRPr="00D30653">
        <w:t>although background photography may be permitted at the Chair’s discretion, upon request).</w:t>
      </w:r>
      <w:r>
        <w:t xml:space="preserve"> T</w:t>
      </w:r>
      <w:r w:rsidRPr="00D30653">
        <w:t>he Chair will reserve the right to ask attendees to refrain from any activity they consider disruptive to proceedings</w:t>
      </w:r>
      <w:r>
        <w:t>.</w:t>
      </w:r>
    </w:p>
    <w:p w14:paraId="0BFB666A" w14:textId="77777777" w:rsidR="0092015A" w:rsidRDefault="0092015A" w:rsidP="006C3623">
      <w:pPr>
        <w:spacing w:line="360" w:lineRule="auto"/>
      </w:pPr>
    </w:p>
    <w:p w14:paraId="3B9C731E" w14:textId="50BAE0A8" w:rsidR="004F431D" w:rsidRDefault="004F431D" w:rsidP="00AC0658">
      <w:pPr>
        <w:pStyle w:val="Heading3"/>
      </w:pPr>
      <w:r w:rsidRPr="009C3B78">
        <w:t xml:space="preserve">Recording and </w:t>
      </w:r>
      <w:r w:rsidR="001E29B0">
        <w:t>Publication</w:t>
      </w:r>
    </w:p>
    <w:p w14:paraId="2C497928" w14:textId="77777777" w:rsidR="00DA4AB0" w:rsidRPr="00DA4AB0" w:rsidRDefault="00DA4AB0" w:rsidP="00DA4AB0"/>
    <w:p w14:paraId="68653F5D" w14:textId="2B94510C" w:rsidR="009A4B38" w:rsidRDefault="004F431D" w:rsidP="00AC0658">
      <w:pPr>
        <w:spacing w:line="360" w:lineRule="auto"/>
      </w:pPr>
      <w:r w:rsidRPr="00556590">
        <w:t xml:space="preserve">After the end of the secondary consultation period, the </w:t>
      </w:r>
      <w:r>
        <w:t xml:space="preserve">Act requires the Commission to </w:t>
      </w:r>
      <w:r w:rsidRPr="00556590">
        <w:t xml:space="preserve">publish </w:t>
      </w:r>
      <w:r w:rsidR="003E524D">
        <w:t>the record of each public hearing</w:t>
      </w:r>
      <w:r w:rsidR="00F01DE7">
        <w:t xml:space="preserve">. </w:t>
      </w:r>
      <w:r>
        <w:t xml:space="preserve">Therefore, </w:t>
      </w:r>
      <w:r w:rsidR="003E524D">
        <w:t xml:space="preserve">all </w:t>
      </w:r>
      <w:r w:rsidR="003E524D" w:rsidRPr="0092015A">
        <w:t>contributions</w:t>
      </w:r>
      <w:r w:rsidR="003E524D">
        <w:t xml:space="preserve"> to the </w:t>
      </w:r>
      <w:r>
        <w:t xml:space="preserve">hearing </w:t>
      </w:r>
      <w:r w:rsidR="0080787E" w:rsidRPr="0080787E">
        <w:t>(both in-person and virtual</w:t>
      </w:r>
      <w:r w:rsidR="0080787E">
        <w:t xml:space="preserve">) </w:t>
      </w:r>
      <w:r w:rsidR="00212D96">
        <w:t>will</w:t>
      </w:r>
      <w:r>
        <w:t xml:space="preserve"> be recorded</w:t>
      </w:r>
      <w:r w:rsidR="0080787E">
        <w:t>,</w:t>
      </w:r>
      <w:r>
        <w:t xml:space="preserve"> and </w:t>
      </w:r>
      <w:r w:rsidR="0080787E">
        <w:t xml:space="preserve">to ensure accuracy, </w:t>
      </w:r>
      <w:r>
        <w:t>participants may be asked to repeat what t</w:t>
      </w:r>
      <w:r w:rsidR="0080787E">
        <w:t>hey have said</w:t>
      </w:r>
      <w:r>
        <w:t xml:space="preserve">. The transcript will include the name </w:t>
      </w:r>
      <w:r w:rsidR="003E524D">
        <w:t xml:space="preserve">of the speaker </w:t>
      </w:r>
      <w:r>
        <w:t xml:space="preserve">and </w:t>
      </w:r>
      <w:r w:rsidR="003E524D">
        <w:t>organisation represented (if any)</w:t>
      </w:r>
      <w:r>
        <w:t xml:space="preserve">. Personal information such as address and contact information will not be published. </w:t>
      </w:r>
    </w:p>
    <w:p w14:paraId="73F60EDA" w14:textId="77777777" w:rsidR="00AC0658" w:rsidRDefault="00AC0658" w:rsidP="00AC0658">
      <w:pPr>
        <w:spacing w:line="360" w:lineRule="auto"/>
      </w:pPr>
    </w:p>
    <w:p w14:paraId="3C1ED42D" w14:textId="6B0ED192" w:rsidR="00D30653" w:rsidRDefault="00D30653" w:rsidP="00AC0658">
      <w:pPr>
        <w:pStyle w:val="Heading3"/>
      </w:pPr>
      <w:r w:rsidRPr="00D30653">
        <w:t>Media</w:t>
      </w:r>
    </w:p>
    <w:p w14:paraId="328AB1FF" w14:textId="77777777" w:rsidR="00DA4AB0" w:rsidRPr="00DA4AB0" w:rsidRDefault="00DA4AB0" w:rsidP="00DA4AB0"/>
    <w:p w14:paraId="230D85B3" w14:textId="2D4513BF" w:rsidR="001444A3" w:rsidRPr="001444A3" w:rsidRDefault="00D30653" w:rsidP="00484FCF">
      <w:pPr>
        <w:spacing w:line="360" w:lineRule="auto"/>
      </w:pPr>
      <w:r w:rsidRPr="00D30653">
        <w:t>Representatives of the media are welcome to register to attend a public hearing, but any recording of the hearing will not be permitted (although background photography may be permitted at the Chair’s discretion, upon request). A</w:t>
      </w:r>
      <w:r w:rsidR="001E29B0">
        <w:t>s above, a</w:t>
      </w:r>
      <w:r w:rsidRPr="00D30653">
        <w:t xml:space="preserve"> transcript of each hearing will be published on the Commission’s website after the secondary consultation period has ended. Media enquiries should be directed to </w:t>
      </w:r>
      <w:r w:rsidR="001444A3" w:rsidRPr="001444A3">
        <w:t>Kieran Donnelly, Morrow Communications</w:t>
      </w:r>
      <w:r w:rsidR="001444A3">
        <w:t>,</w:t>
      </w:r>
      <w:r w:rsidR="007A2542">
        <w:t xml:space="preserve"> on </w:t>
      </w:r>
      <w:r w:rsidR="001444A3" w:rsidRPr="001444A3">
        <w:t>07769702275 or </w:t>
      </w:r>
      <w:hyperlink r:id="rId15" w:tgtFrame="_blank" w:tooltip="mailto:k.donnelly@morrowcommunications.com" w:history="1">
        <w:r w:rsidR="001444A3" w:rsidRPr="001444A3">
          <w:rPr>
            <w:rStyle w:val="Hyperlink"/>
          </w:rPr>
          <w:t>k.donnelly@morrowcommunications.com</w:t>
        </w:r>
      </w:hyperlink>
      <w:r w:rsidR="001444A3">
        <w:t>.</w:t>
      </w:r>
    </w:p>
    <w:p w14:paraId="3D78C5BA" w14:textId="77777777" w:rsidR="0080787E" w:rsidRDefault="0080787E" w:rsidP="002E68F7">
      <w:pPr>
        <w:spacing w:after="160" w:line="259" w:lineRule="auto"/>
      </w:pPr>
    </w:p>
    <w:p w14:paraId="758C7359" w14:textId="77777777" w:rsidR="00D67E9C" w:rsidRDefault="00D67E9C">
      <w:pPr>
        <w:spacing w:after="160" w:line="259" w:lineRule="auto"/>
        <w:rPr>
          <w:rFonts w:eastAsiaTheme="majorEastAsia" w:cstheme="majorBidi"/>
          <w:b/>
          <w:color w:val="1F4E79" w:themeColor="accent1" w:themeShade="80"/>
          <w:sz w:val="32"/>
          <w:szCs w:val="26"/>
        </w:rPr>
      </w:pPr>
      <w:r>
        <w:br w:type="page"/>
      </w:r>
    </w:p>
    <w:p w14:paraId="1519DF79" w14:textId="2639AC68" w:rsidR="0080787E" w:rsidRDefault="0080787E" w:rsidP="0080787E">
      <w:pPr>
        <w:pStyle w:val="Heading2"/>
        <w:spacing w:line="360" w:lineRule="auto"/>
      </w:pPr>
      <w:r>
        <w:lastRenderedPageBreak/>
        <w:t>Get in touch</w:t>
      </w:r>
    </w:p>
    <w:p w14:paraId="0D97CD34" w14:textId="77777777" w:rsidR="00DA4AB0" w:rsidRPr="00DA4AB0" w:rsidRDefault="00DA4AB0" w:rsidP="00DA4AB0"/>
    <w:p w14:paraId="2FD6D145" w14:textId="7B0DDBCA" w:rsidR="0080787E" w:rsidRPr="0080787E" w:rsidRDefault="0080787E" w:rsidP="0080787E">
      <w:pPr>
        <w:spacing w:line="360" w:lineRule="auto"/>
      </w:pPr>
      <w:r>
        <w:t xml:space="preserve">The Commission is keen to encourage participation in the secondary consultation process, including the public hearings. </w:t>
      </w:r>
      <w:r w:rsidR="00D176F9">
        <w:t>If you have any questions about the process, or would like to discuss how you can take part, please get in touch with us</w:t>
      </w:r>
      <w:r w:rsidR="00D176F9" w:rsidRPr="00D176F9">
        <w:rPr>
          <w:rFonts w:eastAsiaTheme="minorHAnsi" w:cs="Arial"/>
          <w:lang w:eastAsia="en-US"/>
        </w:rPr>
        <w:t xml:space="preserve"> </w:t>
      </w:r>
      <w:r w:rsidR="00D176F9" w:rsidRPr="00D176F9">
        <w:t xml:space="preserve">by calling 028 90527821 or by emailing </w:t>
      </w:r>
      <w:hyperlink r:id="rId16" w:history="1">
        <w:r w:rsidR="00D176F9" w:rsidRPr="00FF342F">
          <w:rPr>
            <w:rStyle w:val="Hyperlink"/>
          </w:rPr>
          <w:t>contact@boundarycommission.org.uk</w:t>
        </w:r>
      </w:hyperlink>
      <w:r w:rsidR="00D176F9">
        <w:t>.</w:t>
      </w:r>
    </w:p>
    <w:p w14:paraId="3D77D411" w14:textId="77777777" w:rsidR="0080787E" w:rsidRPr="0080787E" w:rsidRDefault="0080787E" w:rsidP="0080787E"/>
    <w:p w14:paraId="1C9EF150" w14:textId="442EB056" w:rsidR="0080787E" w:rsidRPr="001444A3" w:rsidRDefault="0080787E" w:rsidP="0080787E">
      <w:pPr>
        <w:spacing w:line="360" w:lineRule="auto"/>
      </w:pPr>
    </w:p>
    <w:p w14:paraId="63898776" w14:textId="562AA7EB" w:rsidR="001824A0" w:rsidRDefault="001824A0" w:rsidP="002E68F7">
      <w:pPr>
        <w:spacing w:after="160" w:line="259" w:lineRule="auto"/>
      </w:pPr>
      <w:r>
        <w:br w:type="page"/>
      </w:r>
    </w:p>
    <w:p w14:paraId="3F15D1CC" w14:textId="3836C96F" w:rsidR="00C230D5" w:rsidRDefault="001824A0" w:rsidP="00AB0C17">
      <w:pPr>
        <w:pStyle w:val="Heading10"/>
      </w:pPr>
      <w:r>
        <w:lastRenderedPageBreak/>
        <w:t xml:space="preserve">Appendix 1 – Schedule 2A </w:t>
      </w:r>
      <w:r w:rsidR="00AE7EC2">
        <w:t xml:space="preserve">of the </w:t>
      </w:r>
      <w:r>
        <w:t>Parliamentary Constituencies Act, as amended</w:t>
      </w:r>
    </w:p>
    <w:p w14:paraId="3F37C737" w14:textId="77777777" w:rsidR="001824A0" w:rsidRDefault="001824A0" w:rsidP="00484FCF">
      <w:pPr>
        <w:ind w:right="-23"/>
      </w:pPr>
      <w:r>
        <w:t>SCHEDULE 2A</w:t>
      </w:r>
    </w:p>
    <w:p w14:paraId="59E25CF9" w14:textId="77777777" w:rsidR="001824A0" w:rsidRDefault="001824A0" w:rsidP="00484FCF">
      <w:pPr>
        <w:ind w:right="-23"/>
      </w:pPr>
    </w:p>
    <w:p w14:paraId="5C15AE0C" w14:textId="77777777" w:rsidR="001824A0" w:rsidRDefault="001824A0" w:rsidP="00484FCF">
      <w:pPr>
        <w:ind w:right="-23"/>
      </w:pPr>
      <w:r>
        <w:t>PUBLIC HEARINGS ABOUT BOUNDARY COMMISSION PROPOSALS</w:t>
      </w:r>
    </w:p>
    <w:p w14:paraId="46C2EA49" w14:textId="77777777" w:rsidR="001824A0" w:rsidRDefault="001824A0" w:rsidP="00484FCF">
      <w:pPr>
        <w:ind w:right="-23"/>
      </w:pPr>
    </w:p>
    <w:p w14:paraId="3EA2C9E3" w14:textId="77777777" w:rsidR="001824A0" w:rsidRDefault="001824A0" w:rsidP="00484FCF">
      <w:pPr>
        <w:ind w:right="-23"/>
      </w:pPr>
      <w:r>
        <w:rPr>
          <w:i/>
        </w:rPr>
        <w:t>Purpose of hearings</w:t>
      </w:r>
    </w:p>
    <w:p w14:paraId="0627DB5E" w14:textId="77777777" w:rsidR="001824A0" w:rsidRDefault="001824A0" w:rsidP="00484FCF">
      <w:pPr>
        <w:ind w:right="-23"/>
      </w:pPr>
    </w:p>
    <w:p w14:paraId="421746B7" w14:textId="77777777" w:rsidR="001824A0" w:rsidRDefault="001824A0" w:rsidP="00484FCF">
      <w:pPr>
        <w:ind w:left="720" w:right="-23" w:hanging="720"/>
      </w:pPr>
      <w:r>
        <w:t>1</w:t>
      </w:r>
      <w:r>
        <w:tab/>
        <w:t>The purpose of a public hearing is to enable representations to be made about any of the proposals with which the hearing is concerned.</w:t>
      </w:r>
    </w:p>
    <w:p w14:paraId="1200C2B5" w14:textId="77777777" w:rsidR="001824A0" w:rsidRDefault="001824A0" w:rsidP="00484FCF">
      <w:pPr>
        <w:ind w:right="-23"/>
      </w:pPr>
    </w:p>
    <w:p w14:paraId="423A66A1" w14:textId="77777777" w:rsidR="001824A0" w:rsidRDefault="001824A0" w:rsidP="00484FCF">
      <w:pPr>
        <w:ind w:right="-23"/>
      </w:pPr>
      <w:r>
        <w:rPr>
          <w:i/>
        </w:rPr>
        <w:t>Number of hearings</w:t>
      </w:r>
    </w:p>
    <w:p w14:paraId="55801643" w14:textId="77777777" w:rsidR="001824A0" w:rsidRDefault="001824A0" w:rsidP="00484FCF">
      <w:pPr>
        <w:ind w:right="-23"/>
      </w:pPr>
    </w:p>
    <w:p w14:paraId="2DE2F822" w14:textId="2DED21B8" w:rsidR="001824A0" w:rsidRDefault="00B56373" w:rsidP="00484FCF">
      <w:pPr>
        <w:ind w:right="-23"/>
      </w:pPr>
      <w:r>
        <w:t>2</w:t>
      </w:r>
      <w:r w:rsidR="004463B0">
        <w:tab/>
      </w:r>
      <w:r w:rsidR="001824A0">
        <w:t>(1) In relation to any particular report under section 3(1)(a) of this Act –</w:t>
      </w:r>
    </w:p>
    <w:p w14:paraId="77560A7D" w14:textId="77777777" w:rsidR="001824A0" w:rsidRPr="00AE7EC2" w:rsidRDefault="001824A0" w:rsidP="00484FCF">
      <w:pPr>
        <w:ind w:left="720" w:right="-23"/>
        <w:rPr>
          <w:rFonts w:cs="Arial"/>
        </w:rPr>
      </w:pPr>
      <w:r>
        <w:t>the Boundary Commission for England shall cause at least two and no more than five public hearings to be held in each English region;</w:t>
      </w:r>
    </w:p>
    <w:p w14:paraId="3ADD4AF5" w14:textId="77777777" w:rsidR="001824A0" w:rsidRDefault="001824A0" w:rsidP="00484FCF">
      <w:pPr>
        <w:ind w:left="720" w:right="-23"/>
      </w:pPr>
      <w:r>
        <w:t>the Boundary Commission for Scotland shall cause at least two and no more than five public hearings to be held in Scotland</w:t>
      </w:r>
    </w:p>
    <w:p w14:paraId="5691620F" w14:textId="77777777" w:rsidR="001824A0" w:rsidRDefault="001824A0" w:rsidP="00484FCF">
      <w:pPr>
        <w:ind w:left="720" w:right="-23"/>
      </w:pPr>
      <w:r>
        <w:t>the Boundary Commission for Wales shall cause at least two and no more than five public hearings to be held in Wales</w:t>
      </w:r>
    </w:p>
    <w:p w14:paraId="226BB71D" w14:textId="77777777" w:rsidR="001824A0" w:rsidRDefault="001824A0" w:rsidP="00484FCF">
      <w:pPr>
        <w:ind w:left="720" w:right="-23"/>
      </w:pPr>
      <w:r>
        <w:t>the Boundary Commission for Northern Ireland shall cause at least two and no more than five public hearings to be held in Northern Ireland.</w:t>
      </w:r>
    </w:p>
    <w:p w14:paraId="195C88F6" w14:textId="77777777" w:rsidR="001824A0" w:rsidRDefault="001824A0" w:rsidP="00484FCF">
      <w:pPr>
        <w:ind w:right="-23"/>
      </w:pPr>
    </w:p>
    <w:p w14:paraId="0DFF0C67" w14:textId="77777777" w:rsidR="001824A0" w:rsidRDefault="001824A0" w:rsidP="00484FCF">
      <w:pPr>
        <w:ind w:left="720" w:right="-23"/>
      </w:pPr>
      <w:r>
        <w:t>(2) The public hearings in an English region shall be concerned with proposals for that region, and shall between them cover the whole region.</w:t>
      </w:r>
    </w:p>
    <w:p w14:paraId="0C8B8664" w14:textId="77777777" w:rsidR="001824A0" w:rsidRDefault="001824A0" w:rsidP="00484FCF">
      <w:pPr>
        <w:ind w:right="-23"/>
      </w:pPr>
    </w:p>
    <w:p w14:paraId="5FAF5BEE" w14:textId="77777777" w:rsidR="001824A0" w:rsidRDefault="001824A0" w:rsidP="00484FCF">
      <w:pPr>
        <w:ind w:left="720" w:right="-23"/>
      </w:pPr>
      <w:r>
        <w:t>(3) The public hearings in Scotland shall be concerned with proposals for Scotland, and shall between them cover the whole of Scotland.</w:t>
      </w:r>
    </w:p>
    <w:p w14:paraId="65669CBD" w14:textId="77777777" w:rsidR="001824A0" w:rsidRDefault="001824A0" w:rsidP="00484FCF">
      <w:pPr>
        <w:ind w:right="-23"/>
      </w:pPr>
    </w:p>
    <w:p w14:paraId="2C97F25A" w14:textId="77777777" w:rsidR="001824A0" w:rsidRDefault="001824A0" w:rsidP="00484FCF">
      <w:pPr>
        <w:ind w:left="720" w:right="-23"/>
      </w:pPr>
      <w:r>
        <w:t>(4) The public hearings in Wales shall be concerned with proposals for Wales, and shall between them cover the whole of Wales.</w:t>
      </w:r>
    </w:p>
    <w:p w14:paraId="5C392B8E" w14:textId="77777777" w:rsidR="001824A0" w:rsidRDefault="001824A0" w:rsidP="00484FCF">
      <w:pPr>
        <w:ind w:right="-23"/>
      </w:pPr>
    </w:p>
    <w:p w14:paraId="1848BDA8" w14:textId="77777777" w:rsidR="001824A0" w:rsidRDefault="001824A0" w:rsidP="00484FCF">
      <w:pPr>
        <w:ind w:left="720" w:right="-23"/>
      </w:pPr>
      <w:r>
        <w:t>(5) The public hearings in Northern Ireland shall be concerned with proposals for Northern Ireland, and shall between them cover the whole of Northern Ireland.</w:t>
      </w:r>
    </w:p>
    <w:p w14:paraId="39A08C0E" w14:textId="77777777" w:rsidR="001824A0" w:rsidRDefault="001824A0" w:rsidP="00484FCF">
      <w:pPr>
        <w:ind w:right="-23"/>
      </w:pPr>
    </w:p>
    <w:p w14:paraId="5F29CD80" w14:textId="77777777" w:rsidR="001824A0" w:rsidRDefault="001824A0" w:rsidP="00484FCF">
      <w:pPr>
        <w:ind w:right="-23"/>
      </w:pPr>
      <w:r>
        <w:rPr>
          <w:i/>
        </w:rPr>
        <w:t>Chair of hearing</w:t>
      </w:r>
    </w:p>
    <w:p w14:paraId="61BD8E3A" w14:textId="77777777" w:rsidR="001824A0" w:rsidRDefault="001824A0" w:rsidP="00484FCF">
      <w:pPr>
        <w:ind w:right="-23"/>
      </w:pPr>
    </w:p>
    <w:p w14:paraId="40062209" w14:textId="432B3FCC" w:rsidR="001824A0" w:rsidRDefault="00B56373" w:rsidP="00484FCF">
      <w:pPr>
        <w:ind w:left="720" w:right="-23" w:hanging="720"/>
      </w:pPr>
      <w:r>
        <w:t>3</w:t>
      </w:r>
      <w:r w:rsidR="004463B0">
        <w:tab/>
      </w:r>
      <w:r w:rsidR="001824A0">
        <w:t>For each public hearing the Boundary Commission concerned shall appoint a person to chair the hearing.</w:t>
      </w:r>
    </w:p>
    <w:p w14:paraId="6D3B5DEE" w14:textId="198F7816" w:rsidR="004463B0" w:rsidRDefault="004463B0" w:rsidP="00484FCF">
      <w:pPr>
        <w:ind w:left="720" w:right="-23" w:hanging="720"/>
      </w:pPr>
    </w:p>
    <w:p w14:paraId="31E79D2D" w14:textId="77777777" w:rsidR="001824A0" w:rsidRDefault="001824A0" w:rsidP="00484FCF">
      <w:pPr>
        <w:ind w:right="-23"/>
      </w:pPr>
      <w:r>
        <w:rPr>
          <w:i/>
        </w:rPr>
        <w:t>Length of hearings</w:t>
      </w:r>
    </w:p>
    <w:p w14:paraId="1D859B32" w14:textId="77777777" w:rsidR="001824A0" w:rsidRDefault="001824A0" w:rsidP="00484FCF">
      <w:pPr>
        <w:ind w:right="-23"/>
      </w:pPr>
    </w:p>
    <w:p w14:paraId="299F8A75" w14:textId="35901119" w:rsidR="001824A0" w:rsidRDefault="00B56373" w:rsidP="00484FCF">
      <w:pPr>
        <w:ind w:right="-23"/>
      </w:pPr>
      <w:r>
        <w:t>4</w:t>
      </w:r>
      <w:r w:rsidR="001824A0">
        <w:t xml:space="preserve">A </w:t>
      </w:r>
      <w:r w:rsidR="004463B0">
        <w:tab/>
      </w:r>
      <w:r w:rsidR="001824A0">
        <w:t>public hearing shall be completed within two days.</w:t>
      </w:r>
    </w:p>
    <w:p w14:paraId="21B46B18" w14:textId="77777777" w:rsidR="00484FCF" w:rsidRDefault="00484FCF" w:rsidP="00484FCF">
      <w:pPr>
        <w:spacing w:after="160" w:line="259" w:lineRule="auto"/>
        <w:ind w:right="-23"/>
        <w:rPr>
          <w:i/>
        </w:rPr>
      </w:pPr>
    </w:p>
    <w:p w14:paraId="626DD151" w14:textId="2AC34ED7" w:rsidR="001824A0" w:rsidRDefault="001824A0" w:rsidP="00484FCF">
      <w:pPr>
        <w:spacing w:after="160" w:line="259" w:lineRule="auto"/>
        <w:ind w:right="-23"/>
      </w:pPr>
      <w:r>
        <w:rPr>
          <w:i/>
        </w:rPr>
        <w:t>Procedure at hearings</w:t>
      </w:r>
    </w:p>
    <w:p w14:paraId="731C85ED" w14:textId="72ECAA0C" w:rsidR="001824A0" w:rsidRDefault="00B56373" w:rsidP="00484FCF">
      <w:pPr>
        <w:ind w:left="720" w:right="-23" w:hanging="720"/>
      </w:pPr>
      <w:r>
        <w:t>5</w:t>
      </w:r>
      <w:r w:rsidR="004463B0">
        <w:tab/>
      </w:r>
      <w:r w:rsidR="001824A0">
        <w:t>It is for the chair of each public hearing to determine the procedure that is to govern that hearing.</w:t>
      </w:r>
    </w:p>
    <w:p w14:paraId="284AB994" w14:textId="77777777" w:rsidR="001824A0" w:rsidRDefault="001824A0" w:rsidP="00484FCF">
      <w:pPr>
        <w:ind w:right="-23"/>
      </w:pPr>
    </w:p>
    <w:p w14:paraId="55BE2C92" w14:textId="7C447083" w:rsidR="001824A0" w:rsidRDefault="00B56373" w:rsidP="00484FCF">
      <w:pPr>
        <w:ind w:left="720" w:right="-23" w:hanging="720"/>
      </w:pPr>
      <w:r>
        <w:t>6</w:t>
      </w:r>
      <w:r w:rsidR="004463B0">
        <w:tab/>
      </w:r>
      <w:r w:rsidR="001824A0">
        <w:t>The chair shall make arrangements for a public hearing to begin with an explanation of –</w:t>
      </w:r>
    </w:p>
    <w:p w14:paraId="7BC0B3A7" w14:textId="77777777" w:rsidR="001824A0" w:rsidRDefault="001824A0" w:rsidP="00484FCF">
      <w:pPr>
        <w:ind w:right="-23" w:firstLine="720"/>
      </w:pPr>
      <w:r>
        <w:t>the proposals with which the hearing is concerned;</w:t>
      </w:r>
    </w:p>
    <w:p w14:paraId="2AB90CF9" w14:textId="77777777" w:rsidR="001824A0" w:rsidRDefault="001824A0" w:rsidP="00484FCF">
      <w:pPr>
        <w:ind w:left="720" w:right="-23"/>
      </w:pPr>
      <w:r>
        <w:t xml:space="preserve">how written representations about the proposals may be made (as mentioned in section 5(1)(a), (4)(b), </w:t>
      </w:r>
      <w:r>
        <w:rPr>
          <w:color w:val="A64D79"/>
        </w:rPr>
        <w:t>(4B)(b),</w:t>
      </w:r>
      <w:r>
        <w:t xml:space="preserve"> or (5)(c) of this Act).</w:t>
      </w:r>
    </w:p>
    <w:p w14:paraId="18337750" w14:textId="77777777" w:rsidR="001824A0" w:rsidRDefault="001824A0" w:rsidP="00484FCF">
      <w:pPr>
        <w:ind w:right="-23"/>
      </w:pPr>
    </w:p>
    <w:p w14:paraId="0974FD26" w14:textId="689D4FFE" w:rsidR="001824A0" w:rsidRDefault="00B56373" w:rsidP="00484FCF">
      <w:pPr>
        <w:ind w:right="-23"/>
      </w:pPr>
      <w:r>
        <w:t>7</w:t>
      </w:r>
      <w:r w:rsidR="004463B0">
        <w:tab/>
      </w:r>
      <w:r w:rsidR="001824A0">
        <w:t>(1) The chair of a public hearing must allow representations to be made –</w:t>
      </w:r>
    </w:p>
    <w:p w14:paraId="68206069" w14:textId="77777777" w:rsidR="001824A0" w:rsidRDefault="001824A0" w:rsidP="00484FCF">
      <w:pPr>
        <w:ind w:right="-23" w:firstLine="720"/>
      </w:pPr>
      <w:r>
        <w:t>by each qualifying party;</w:t>
      </w:r>
    </w:p>
    <w:p w14:paraId="3D1F9288" w14:textId="77777777" w:rsidR="001824A0" w:rsidRDefault="001824A0" w:rsidP="00484FCF">
      <w:pPr>
        <w:ind w:left="720" w:right="-23"/>
      </w:pPr>
      <w:r>
        <w:t>by any other persons (whether individuals or organisations) considered by the chair to have an interest in any of the proposals with which the hearing is concerned.</w:t>
      </w:r>
    </w:p>
    <w:p w14:paraId="7F4544F1" w14:textId="77777777" w:rsidR="001824A0" w:rsidRDefault="001824A0" w:rsidP="00484FCF">
      <w:pPr>
        <w:ind w:right="-23" w:firstLine="720"/>
      </w:pPr>
      <w:r>
        <w:t>Paragraph (b) above has effect subject to sub-paragraph (3)(b) below.</w:t>
      </w:r>
    </w:p>
    <w:p w14:paraId="1F72D414" w14:textId="77777777" w:rsidR="001824A0" w:rsidRDefault="001824A0" w:rsidP="00484FCF">
      <w:pPr>
        <w:ind w:right="-23"/>
      </w:pPr>
    </w:p>
    <w:p w14:paraId="133EC6EE" w14:textId="3D28D4AD" w:rsidR="001824A0" w:rsidRDefault="001824A0" w:rsidP="00484FCF">
      <w:pPr>
        <w:ind w:right="-23" w:firstLine="720"/>
      </w:pPr>
      <w:r>
        <w:t>(2) The chair may restrict the amount of time allowed for representations –</w:t>
      </w:r>
    </w:p>
    <w:p w14:paraId="6A624CC2" w14:textId="77777777" w:rsidR="001824A0" w:rsidRDefault="001824A0" w:rsidP="00484FCF">
      <w:pPr>
        <w:ind w:right="-23" w:firstLine="720"/>
      </w:pPr>
      <w:r>
        <w:t>by qualifying parties, and</w:t>
      </w:r>
    </w:p>
    <w:p w14:paraId="5827A670" w14:textId="77777777" w:rsidR="001824A0" w:rsidRDefault="001824A0" w:rsidP="00484FCF">
      <w:pPr>
        <w:ind w:right="-23" w:firstLine="720"/>
      </w:pPr>
      <w:r>
        <w:t>by other persons,</w:t>
      </w:r>
    </w:p>
    <w:p w14:paraId="0428E91D" w14:textId="77777777" w:rsidR="001824A0" w:rsidRDefault="001824A0" w:rsidP="00484FCF">
      <w:pPr>
        <w:ind w:right="-23" w:firstLine="720"/>
      </w:pPr>
      <w:r>
        <w:t>and need not allow the same amount to each.</w:t>
      </w:r>
    </w:p>
    <w:p w14:paraId="3083A985" w14:textId="77777777" w:rsidR="001824A0" w:rsidRDefault="001824A0" w:rsidP="00484FCF">
      <w:pPr>
        <w:ind w:right="-23"/>
      </w:pPr>
    </w:p>
    <w:p w14:paraId="460B1EB2" w14:textId="6273C0CB" w:rsidR="001824A0" w:rsidRDefault="001824A0" w:rsidP="00484FCF">
      <w:pPr>
        <w:ind w:right="-23" w:firstLine="720"/>
      </w:pPr>
      <w:r>
        <w:t>(3) The chair may determine –</w:t>
      </w:r>
    </w:p>
    <w:p w14:paraId="33A5622A" w14:textId="77777777" w:rsidR="001824A0" w:rsidRDefault="001824A0" w:rsidP="00484FCF">
      <w:pPr>
        <w:ind w:right="-23" w:firstLine="720"/>
      </w:pPr>
      <w:r>
        <w:t>the order in which representations are made, and</w:t>
      </w:r>
    </w:p>
    <w:p w14:paraId="6AB3B461" w14:textId="77777777" w:rsidR="001824A0" w:rsidRDefault="001824A0" w:rsidP="00484FCF">
      <w:pPr>
        <w:ind w:left="720" w:right="-23"/>
      </w:pPr>
      <w:r>
        <w:t>if necessary because of shortage of time, which of those wishing to make representations are not allowed to do so,</w:t>
      </w:r>
    </w:p>
    <w:p w14:paraId="0B1BE640" w14:textId="77777777" w:rsidR="001824A0" w:rsidRDefault="001824A0" w:rsidP="00484FCF">
      <w:pPr>
        <w:ind w:right="-23" w:firstLine="720"/>
      </w:pPr>
      <w:r>
        <w:t>in whatever way the chair decides.</w:t>
      </w:r>
    </w:p>
    <w:p w14:paraId="485CE623" w14:textId="77777777" w:rsidR="001824A0" w:rsidRDefault="001824A0" w:rsidP="00484FCF">
      <w:pPr>
        <w:ind w:right="-23"/>
      </w:pPr>
    </w:p>
    <w:p w14:paraId="2EF5B218" w14:textId="0DB824AF" w:rsidR="001824A0" w:rsidRDefault="00B56373" w:rsidP="00484FCF">
      <w:pPr>
        <w:ind w:left="720" w:right="-23" w:hanging="720"/>
      </w:pPr>
      <w:r>
        <w:t>8</w:t>
      </w:r>
      <w:r w:rsidR="004463B0">
        <w:tab/>
      </w:r>
      <w:r w:rsidR="001824A0">
        <w:t>(1) The chair may put questions, or allow questions to be put, to a person present at the hearing.</w:t>
      </w:r>
    </w:p>
    <w:p w14:paraId="22BE1358" w14:textId="77777777" w:rsidR="001824A0" w:rsidRDefault="001824A0" w:rsidP="00484FCF">
      <w:pPr>
        <w:ind w:right="-23"/>
      </w:pPr>
    </w:p>
    <w:p w14:paraId="70F8DB87" w14:textId="6C64077E" w:rsidR="001824A0" w:rsidRDefault="001824A0" w:rsidP="00484FCF">
      <w:pPr>
        <w:ind w:left="720" w:right="-23"/>
      </w:pPr>
      <w:r>
        <w:t>(2) If questions are allowed to be put, the chair may regulate the manner of questioning or restrict the number of questions a person may ask.</w:t>
      </w:r>
    </w:p>
    <w:p w14:paraId="160AAB9A" w14:textId="77777777" w:rsidR="001824A0" w:rsidRDefault="001824A0" w:rsidP="00484FCF">
      <w:pPr>
        <w:ind w:right="-23"/>
      </w:pPr>
    </w:p>
    <w:p w14:paraId="3265F99B" w14:textId="77777777" w:rsidR="001824A0" w:rsidRDefault="001824A0" w:rsidP="00484FCF">
      <w:pPr>
        <w:ind w:right="-23"/>
      </w:pPr>
      <w:r>
        <w:rPr>
          <w:i/>
        </w:rPr>
        <w:t>Interpretation</w:t>
      </w:r>
    </w:p>
    <w:p w14:paraId="7CE6F3FE" w14:textId="77777777" w:rsidR="004463B0" w:rsidRDefault="004463B0" w:rsidP="00484FCF">
      <w:pPr>
        <w:ind w:right="-23"/>
      </w:pPr>
    </w:p>
    <w:p w14:paraId="6FF217AE" w14:textId="748DBF0B" w:rsidR="001824A0" w:rsidRDefault="00B56373" w:rsidP="00484FCF">
      <w:pPr>
        <w:ind w:right="-23"/>
      </w:pPr>
      <w:r>
        <w:t>9</w:t>
      </w:r>
      <w:r w:rsidR="004463B0">
        <w:tab/>
      </w:r>
      <w:r w:rsidR="001824A0">
        <w:t>In this Schedule –</w:t>
      </w:r>
    </w:p>
    <w:p w14:paraId="35834F9E" w14:textId="77777777" w:rsidR="001824A0" w:rsidRDefault="001824A0" w:rsidP="00484FCF">
      <w:pPr>
        <w:ind w:right="-23" w:firstLine="720"/>
      </w:pPr>
      <w:r>
        <w:t>“the chair” means the person appointed under paragraph 3 above;</w:t>
      </w:r>
    </w:p>
    <w:p w14:paraId="09923F56" w14:textId="77777777" w:rsidR="001824A0" w:rsidRDefault="001824A0" w:rsidP="00484FCF">
      <w:pPr>
        <w:ind w:left="720" w:right="-23"/>
      </w:pPr>
      <w:r>
        <w:t>“English region” means an electoral region specified in Schedule 1 to the European Parliamentary Elections Act 2002 (ignoring paragraph 2(2) of that Schedule and references to Gibraltar) as it has effect on the day referred to in rule 5(2) of Schedule 2 to this Act;</w:t>
      </w:r>
    </w:p>
    <w:p w14:paraId="4A947F0A" w14:textId="77777777" w:rsidR="001824A0" w:rsidRDefault="001824A0" w:rsidP="00484FCF">
      <w:pPr>
        <w:ind w:right="-23" w:firstLine="720"/>
      </w:pPr>
      <w:r>
        <w:t xml:space="preserve">“public hearing” means a hearing under </w:t>
      </w:r>
      <w:r>
        <w:rPr>
          <w:color w:val="A64D79"/>
        </w:rPr>
        <w:t>section 5(4)(c)</w:t>
      </w:r>
      <w:r>
        <w:t xml:space="preserve"> of this Act;</w:t>
      </w:r>
    </w:p>
    <w:p w14:paraId="3DDA7055" w14:textId="77777777" w:rsidR="001824A0" w:rsidRDefault="001824A0" w:rsidP="00484FCF">
      <w:pPr>
        <w:ind w:left="720" w:right="-23"/>
      </w:pPr>
      <w:r>
        <w:t>“qualifying party” means a party that is registered under Part 2 of the Political Parties, Elections, and Referendums Act 2000 and either –</w:t>
      </w:r>
    </w:p>
    <w:p w14:paraId="00145495" w14:textId="77777777" w:rsidR="001824A0" w:rsidRDefault="001824A0" w:rsidP="00484FCF">
      <w:pPr>
        <w:ind w:left="720" w:right="-23"/>
      </w:pPr>
      <w:r>
        <w:t>Has at least one Member of the House of Commons representing a constituency in the region, or (as the case may be) the part of the United Kingdom, in which the hearing is held, or</w:t>
      </w:r>
    </w:p>
    <w:p w14:paraId="2F7539D1" w14:textId="63BCD3EC" w:rsidR="001824A0" w:rsidRPr="00D30653" w:rsidRDefault="001824A0" w:rsidP="00484FCF">
      <w:pPr>
        <w:ind w:left="720" w:right="-23"/>
      </w:pPr>
      <w:r>
        <w:t>Received at least 10% of the votes cast in that region or part in the most recent parliamentary general election.</w:t>
      </w:r>
      <w:bookmarkEnd w:id="1"/>
    </w:p>
    <w:sectPr w:rsidR="001824A0" w:rsidRPr="00D30653" w:rsidSect="00DB5BA8">
      <w:headerReference w:type="default" r:id="rId17"/>
      <w:footerReference w:type="default" r:id="rId18"/>
      <w:pgSz w:w="11906" w:h="16838"/>
      <w:pgMar w:top="1843" w:right="1416" w:bottom="993" w:left="993" w:header="1486"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E15EB" w14:textId="77777777" w:rsidR="00026115" w:rsidRDefault="00026115" w:rsidP="00E77A20">
      <w:r>
        <w:separator/>
      </w:r>
    </w:p>
  </w:endnote>
  <w:endnote w:type="continuationSeparator" w:id="0">
    <w:p w14:paraId="71087EC8" w14:textId="77777777" w:rsidR="00026115" w:rsidRDefault="00026115" w:rsidP="00E7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573154"/>
      <w:docPartObj>
        <w:docPartGallery w:val="Page Numbers (Bottom of Page)"/>
        <w:docPartUnique/>
      </w:docPartObj>
    </w:sdtPr>
    <w:sdtEndPr>
      <w:rPr>
        <w:noProof/>
      </w:rPr>
    </w:sdtEndPr>
    <w:sdtContent>
      <w:p w14:paraId="07024E49" w14:textId="01829609" w:rsidR="009E10AF" w:rsidRDefault="009E10AF" w:rsidP="00484FCF">
        <w:pPr>
          <w:pStyle w:val="Footer"/>
          <w:pBdr>
            <w:top w:val="single" w:sz="4" w:space="1" w:color="auto"/>
          </w:pBdr>
          <w:jc w:val="center"/>
        </w:pPr>
        <w:r>
          <w:fldChar w:fldCharType="begin"/>
        </w:r>
        <w:r>
          <w:instrText xml:space="preserve"> PAGE   \* MERGEFORMAT </w:instrText>
        </w:r>
        <w:r>
          <w:fldChar w:fldCharType="separate"/>
        </w:r>
        <w:r w:rsidR="00AC1623">
          <w:rPr>
            <w:noProof/>
          </w:rPr>
          <w:t>5</w:t>
        </w:r>
        <w:r>
          <w:rPr>
            <w:noProof/>
          </w:rPr>
          <w:fldChar w:fldCharType="end"/>
        </w:r>
      </w:p>
    </w:sdtContent>
  </w:sdt>
  <w:p w14:paraId="38BEF8EC" w14:textId="77777777" w:rsidR="009E10AF" w:rsidRDefault="009E1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8C944" w14:textId="77777777" w:rsidR="00026115" w:rsidRDefault="00026115" w:rsidP="00E77A20">
      <w:r>
        <w:separator/>
      </w:r>
    </w:p>
  </w:footnote>
  <w:footnote w:type="continuationSeparator" w:id="0">
    <w:p w14:paraId="4D4FF4D8" w14:textId="77777777" w:rsidR="00026115" w:rsidRDefault="00026115" w:rsidP="00E77A20">
      <w:r>
        <w:continuationSeparator/>
      </w:r>
    </w:p>
  </w:footnote>
  <w:footnote w:id="1">
    <w:p w14:paraId="2EB1D993" w14:textId="0EEF2F7F" w:rsidR="00E77A20" w:rsidRPr="00E77A20" w:rsidRDefault="00E77A20" w:rsidP="00E77A20">
      <w:pPr>
        <w:pStyle w:val="FootnoteText"/>
      </w:pPr>
      <w:r>
        <w:rPr>
          <w:rStyle w:val="FootnoteReference"/>
        </w:rPr>
        <w:footnoteRef/>
      </w:r>
      <w:r>
        <w:t xml:space="preserve"> Q</w:t>
      </w:r>
      <w:r w:rsidRPr="00E77A20">
        <w:t>ualifying party” means a party that is registered under Part 2 of the Political Parties, Elections, and Referendums Act 2000 and either –</w:t>
      </w:r>
    </w:p>
    <w:p w14:paraId="77F4AE72" w14:textId="77777777" w:rsidR="00E77A20" w:rsidRPr="00E77A20" w:rsidRDefault="00E77A20" w:rsidP="00E77A20">
      <w:pPr>
        <w:pStyle w:val="FootnoteText"/>
        <w:numPr>
          <w:ilvl w:val="0"/>
          <w:numId w:val="11"/>
        </w:numPr>
      </w:pPr>
      <w:r w:rsidRPr="00E77A20">
        <w:t>Has at least one Member of the House of Commons representing a constituency in the region, or (as the case may be) the part of the United Kingdom, in which the hearing is held, or</w:t>
      </w:r>
    </w:p>
    <w:p w14:paraId="00D547A6" w14:textId="77777777" w:rsidR="00E77A20" w:rsidRPr="00E77A20" w:rsidRDefault="00E77A20" w:rsidP="00E77A20">
      <w:pPr>
        <w:pStyle w:val="FootnoteText"/>
        <w:numPr>
          <w:ilvl w:val="0"/>
          <w:numId w:val="11"/>
        </w:numPr>
      </w:pPr>
      <w:r w:rsidRPr="00E77A20">
        <w:t>Received at least 10% of the votes cast in that region or part in the most recent parliamentary general election.</w:t>
      </w:r>
    </w:p>
    <w:p w14:paraId="6D27FBDF" w14:textId="58AFEDF5" w:rsidR="00E77A20" w:rsidRPr="00E77A20" w:rsidRDefault="00E77A20">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08E46" w14:textId="50423CED" w:rsidR="00E34CD2" w:rsidRDefault="00E34CD2">
    <w:pPr>
      <w:pStyle w:val="Header"/>
    </w:pPr>
    <w:r>
      <w:rPr>
        <w:noProof/>
      </w:rPr>
      <w:drawing>
        <wp:anchor distT="0" distB="0" distL="114300" distR="114300" simplePos="0" relativeHeight="251659264" behindDoc="0" locked="0" layoutInCell="1" allowOverlap="1" wp14:anchorId="18282020" wp14:editId="40AB8BD1">
          <wp:simplePos x="0" y="0"/>
          <wp:positionH relativeFrom="page">
            <wp:align>right</wp:align>
          </wp:positionH>
          <wp:positionV relativeFrom="page">
            <wp:align>top</wp:align>
          </wp:positionV>
          <wp:extent cx="7562850" cy="942584"/>
          <wp:effectExtent l="0" t="0" r="0" b="0"/>
          <wp:wrapSquare wrapText="bothSides"/>
          <wp:docPr id="13" name="Picture 1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9425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4810"/>
    <w:multiLevelType w:val="multilevel"/>
    <w:tmpl w:val="AED0F6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CB7623"/>
    <w:multiLevelType w:val="multilevel"/>
    <w:tmpl w:val="CB90F49A"/>
    <w:lvl w:ilvl="0">
      <w:start w:val="1"/>
      <w:numFmt w:val="decimal"/>
      <w:pStyle w:val="Bod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EB1ADD"/>
    <w:multiLevelType w:val="multilevel"/>
    <w:tmpl w:val="9C96B470"/>
    <w:lvl w:ilvl="0">
      <w:start w:val="1"/>
      <w:numFmt w:val="lowerLetter"/>
      <w:lvlText w:val="(%1)"/>
      <w:lvlJc w:val="left"/>
      <w:pPr>
        <w:ind w:left="1778" w:hanging="360"/>
      </w:pPr>
      <w:rPr>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3" w15:restartNumberingAfterBreak="0">
    <w:nsid w:val="0B921A17"/>
    <w:multiLevelType w:val="multilevel"/>
    <w:tmpl w:val="3D844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C86D7A"/>
    <w:multiLevelType w:val="multilevel"/>
    <w:tmpl w:val="66FC27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C38442F"/>
    <w:multiLevelType w:val="hybridMultilevel"/>
    <w:tmpl w:val="54CA4554"/>
    <w:lvl w:ilvl="0" w:tplc="5F0817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41F5B"/>
    <w:multiLevelType w:val="hybridMultilevel"/>
    <w:tmpl w:val="8CD0AACA"/>
    <w:lvl w:ilvl="0" w:tplc="FFFFFFFF">
      <w:start w:val="1"/>
      <w:numFmt w:val="decimal"/>
      <w:lvlText w:val="%1."/>
      <w:lvlJc w:val="center"/>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CD5E55"/>
    <w:multiLevelType w:val="multilevel"/>
    <w:tmpl w:val="673AAC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B093B90"/>
    <w:multiLevelType w:val="hybridMultilevel"/>
    <w:tmpl w:val="9B8A924C"/>
    <w:lvl w:ilvl="0" w:tplc="3684BD1C">
      <w:start w:val="1"/>
      <w:numFmt w:val="decimal"/>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C2F24"/>
    <w:multiLevelType w:val="hybridMultilevel"/>
    <w:tmpl w:val="67E8A21E"/>
    <w:lvl w:ilvl="0" w:tplc="43D46F2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27A0B"/>
    <w:multiLevelType w:val="hybridMultilevel"/>
    <w:tmpl w:val="8CD0AACA"/>
    <w:lvl w:ilvl="0" w:tplc="EA008B88">
      <w:start w:val="1"/>
      <w:numFmt w:val="decimal"/>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A5A99"/>
    <w:multiLevelType w:val="multilevel"/>
    <w:tmpl w:val="BCDCB9F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8773F6C"/>
    <w:multiLevelType w:val="hybridMultilevel"/>
    <w:tmpl w:val="7034E144"/>
    <w:lvl w:ilvl="0" w:tplc="9C5E6974">
      <w:start w:val="1"/>
      <w:numFmt w:val="decimal"/>
      <w:lvlText w:val="%1."/>
      <w:lvlJc w:val="left"/>
      <w:pPr>
        <w:ind w:left="4755" w:hanging="360"/>
      </w:pPr>
      <w:rPr>
        <w:i w:val="0"/>
      </w:rPr>
    </w:lvl>
    <w:lvl w:ilvl="1" w:tplc="08090019" w:tentative="1">
      <w:start w:val="1"/>
      <w:numFmt w:val="lowerLetter"/>
      <w:lvlText w:val="%2."/>
      <w:lvlJc w:val="left"/>
      <w:pPr>
        <w:ind w:left="7885" w:hanging="360"/>
      </w:pPr>
    </w:lvl>
    <w:lvl w:ilvl="2" w:tplc="0809001B" w:tentative="1">
      <w:start w:val="1"/>
      <w:numFmt w:val="lowerRoman"/>
      <w:lvlText w:val="%3."/>
      <w:lvlJc w:val="right"/>
      <w:pPr>
        <w:ind w:left="8605" w:hanging="180"/>
      </w:pPr>
    </w:lvl>
    <w:lvl w:ilvl="3" w:tplc="0809000F" w:tentative="1">
      <w:start w:val="1"/>
      <w:numFmt w:val="decimal"/>
      <w:lvlText w:val="%4."/>
      <w:lvlJc w:val="left"/>
      <w:pPr>
        <w:ind w:left="9325" w:hanging="360"/>
      </w:pPr>
    </w:lvl>
    <w:lvl w:ilvl="4" w:tplc="08090019" w:tentative="1">
      <w:start w:val="1"/>
      <w:numFmt w:val="lowerLetter"/>
      <w:lvlText w:val="%5."/>
      <w:lvlJc w:val="left"/>
      <w:pPr>
        <w:ind w:left="10045" w:hanging="360"/>
      </w:pPr>
    </w:lvl>
    <w:lvl w:ilvl="5" w:tplc="0809001B" w:tentative="1">
      <w:start w:val="1"/>
      <w:numFmt w:val="lowerRoman"/>
      <w:lvlText w:val="%6."/>
      <w:lvlJc w:val="right"/>
      <w:pPr>
        <w:ind w:left="10765" w:hanging="180"/>
      </w:pPr>
    </w:lvl>
    <w:lvl w:ilvl="6" w:tplc="0809000F" w:tentative="1">
      <w:start w:val="1"/>
      <w:numFmt w:val="decimal"/>
      <w:lvlText w:val="%7."/>
      <w:lvlJc w:val="left"/>
      <w:pPr>
        <w:ind w:left="11485" w:hanging="360"/>
      </w:pPr>
    </w:lvl>
    <w:lvl w:ilvl="7" w:tplc="08090019" w:tentative="1">
      <w:start w:val="1"/>
      <w:numFmt w:val="lowerLetter"/>
      <w:lvlText w:val="%8."/>
      <w:lvlJc w:val="left"/>
      <w:pPr>
        <w:ind w:left="12205" w:hanging="360"/>
      </w:pPr>
    </w:lvl>
    <w:lvl w:ilvl="8" w:tplc="0809001B" w:tentative="1">
      <w:start w:val="1"/>
      <w:numFmt w:val="lowerRoman"/>
      <w:lvlText w:val="%9."/>
      <w:lvlJc w:val="right"/>
      <w:pPr>
        <w:ind w:left="12925" w:hanging="180"/>
      </w:pPr>
    </w:lvl>
  </w:abstractNum>
  <w:abstractNum w:abstractNumId="13" w15:restartNumberingAfterBreak="0">
    <w:nsid w:val="4ED163AF"/>
    <w:multiLevelType w:val="hybridMultilevel"/>
    <w:tmpl w:val="6C4E7EA0"/>
    <w:lvl w:ilvl="0" w:tplc="29A4C87E">
      <w:start w:val="1"/>
      <w:numFmt w:val="bullet"/>
      <w:pStyle w:val="ListParagraph"/>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54835B54"/>
    <w:multiLevelType w:val="hybridMultilevel"/>
    <w:tmpl w:val="6A664594"/>
    <w:lvl w:ilvl="0" w:tplc="8E92E8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76D3C"/>
    <w:multiLevelType w:val="multilevel"/>
    <w:tmpl w:val="EAF081D6"/>
    <w:lvl w:ilvl="0">
      <w:start w:val="1"/>
      <w:numFmt w:val="lowerLetter"/>
      <w:lvlText w:val="(%1)"/>
      <w:lvlJc w:val="left"/>
      <w:pPr>
        <w:ind w:left="1778" w:hanging="360"/>
      </w:pPr>
      <w:rPr>
        <w:vertAlign w:val="baseline"/>
      </w:rPr>
    </w:lvl>
    <w:lvl w:ilvl="1">
      <w:start w:val="1"/>
      <w:numFmt w:val="lowerLetter"/>
      <w:lvlText w:val="%2."/>
      <w:lvlJc w:val="left"/>
      <w:pPr>
        <w:ind w:left="2498" w:hanging="360"/>
      </w:pPr>
      <w:rPr>
        <w:vertAlign w:val="baseline"/>
      </w:rPr>
    </w:lvl>
    <w:lvl w:ilvl="2">
      <w:start w:val="1"/>
      <w:numFmt w:val="lowerRoman"/>
      <w:lvlText w:val="%3."/>
      <w:lvlJc w:val="right"/>
      <w:pPr>
        <w:ind w:left="3218" w:hanging="18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16" w15:restartNumberingAfterBreak="0">
    <w:nsid w:val="71E642A9"/>
    <w:multiLevelType w:val="multilevel"/>
    <w:tmpl w:val="332817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5E40107"/>
    <w:multiLevelType w:val="hybridMultilevel"/>
    <w:tmpl w:val="3AEC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9"/>
  </w:num>
  <w:num w:numId="4">
    <w:abstractNumId w:val="3"/>
  </w:num>
  <w:num w:numId="5">
    <w:abstractNumId w:val="14"/>
  </w:num>
  <w:num w:numId="6">
    <w:abstractNumId w:val="1"/>
  </w:num>
  <w:num w:numId="7">
    <w:abstractNumId w:val="8"/>
  </w:num>
  <w:num w:numId="8">
    <w:abstractNumId w:val="17"/>
  </w:num>
  <w:num w:numId="9">
    <w:abstractNumId w:val="12"/>
  </w:num>
  <w:num w:numId="10">
    <w:abstractNumId w:val="13"/>
  </w:num>
  <w:num w:numId="11">
    <w:abstractNumId w:val="15"/>
  </w:num>
  <w:num w:numId="12">
    <w:abstractNumId w:val="2"/>
  </w:num>
  <w:num w:numId="13">
    <w:abstractNumId w:val="7"/>
  </w:num>
  <w:num w:numId="14">
    <w:abstractNumId w:val="16"/>
  </w:num>
  <w:num w:numId="15">
    <w:abstractNumId w:val="0"/>
  </w:num>
  <w:num w:numId="16">
    <w:abstractNumId w:val="4"/>
  </w:num>
  <w:num w:numId="17">
    <w:abstractNumId w:val="11"/>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8yLHC2ywACmRbSQ0mpPdqD1CokytUMZQXh+hibKt8KG9sAZzt9ponfVrdFBtgPieFGu0cEkb3m+ewXYTgha9KA==" w:salt="3y5IUtIp7XjEcxZ1riDA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FD"/>
    <w:rsid w:val="00015A57"/>
    <w:rsid w:val="00016176"/>
    <w:rsid w:val="00026115"/>
    <w:rsid w:val="0003672C"/>
    <w:rsid w:val="00055B09"/>
    <w:rsid w:val="00061BEA"/>
    <w:rsid w:val="0006568D"/>
    <w:rsid w:val="00065AB6"/>
    <w:rsid w:val="000830AE"/>
    <w:rsid w:val="000A178B"/>
    <w:rsid w:val="000B1D42"/>
    <w:rsid w:val="000B20C5"/>
    <w:rsid w:val="000E1CED"/>
    <w:rsid w:val="000E58E6"/>
    <w:rsid w:val="000F38EF"/>
    <w:rsid w:val="0010655E"/>
    <w:rsid w:val="00107349"/>
    <w:rsid w:val="00117948"/>
    <w:rsid w:val="0013113F"/>
    <w:rsid w:val="001444A3"/>
    <w:rsid w:val="00145ACB"/>
    <w:rsid w:val="001519FF"/>
    <w:rsid w:val="00174164"/>
    <w:rsid w:val="001824A0"/>
    <w:rsid w:val="00183BEF"/>
    <w:rsid w:val="00184FF3"/>
    <w:rsid w:val="001B136C"/>
    <w:rsid w:val="001B3F65"/>
    <w:rsid w:val="001E29B0"/>
    <w:rsid w:val="001E4E12"/>
    <w:rsid w:val="001E7254"/>
    <w:rsid w:val="001F0D59"/>
    <w:rsid w:val="00212585"/>
    <w:rsid w:val="00212D96"/>
    <w:rsid w:val="00215796"/>
    <w:rsid w:val="00222E6B"/>
    <w:rsid w:val="00234ECD"/>
    <w:rsid w:val="00236A12"/>
    <w:rsid w:val="00243298"/>
    <w:rsid w:val="00252B0D"/>
    <w:rsid w:val="002622F7"/>
    <w:rsid w:val="0026747B"/>
    <w:rsid w:val="00285D12"/>
    <w:rsid w:val="002A685D"/>
    <w:rsid w:val="002B0E73"/>
    <w:rsid w:val="002D63C6"/>
    <w:rsid w:val="002E68F7"/>
    <w:rsid w:val="003128C6"/>
    <w:rsid w:val="003171B9"/>
    <w:rsid w:val="00323E22"/>
    <w:rsid w:val="00352006"/>
    <w:rsid w:val="00363860"/>
    <w:rsid w:val="003662E3"/>
    <w:rsid w:val="00375CFF"/>
    <w:rsid w:val="00380FB6"/>
    <w:rsid w:val="003861E6"/>
    <w:rsid w:val="00387265"/>
    <w:rsid w:val="003B30A7"/>
    <w:rsid w:val="003B785C"/>
    <w:rsid w:val="003C30CF"/>
    <w:rsid w:val="003E43A4"/>
    <w:rsid w:val="003E524D"/>
    <w:rsid w:val="003F6F99"/>
    <w:rsid w:val="00435BEB"/>
    <w:rsid w:val="004463B0"/>
    <w:rsid w:val="00463F0F"/>
    <w:rsid w:val="00480E5D"/>
    <w:rsid w:val="004843A2"/>
    <w:rsid w:val="00484FCF"/>
    <w:rsid w:val="00485DDD"/>
    <w:rsid w:val="00487F59"/>
    <w:rsid w:val="004A32D4"/>
    <w:rsid w:val="004A7F7A"/>
    <w:rsid w:val="004B077E"/>
    <w:rsid w:val="004B1196"/>
    <w:rsid w:val="004C601A"/>
    <w:rsid w:val="004C6694"/>
    <w:rsid w:val="004D643D"/>
    <w:rsid w:val="004E4467"/>
    <w:rsid w:val="004E5D5F"/>
    <w:rsid w:val="004F431D"/>
    <w:rsid w:val="0050227C"/>
    <w:rsid w:val="00502987"/>
    <w:rsid w:val="005050AE"/>
    <w:rsid w:val="00545AA1"/>
    <w:rsid w:val="00555151"/>
    <w:rsid w:val="00555248"/>
    <w:rsid w:val="00556590"/>
    <w:rsid w:val="0056384E"/>
    <w:rsid w:val="00571F73"/>
    <w:rsid w:val="005960BA"/>
    <w:rsid w:val="005A64AB"/>
    <w:rsid w:val="005B7F2C"/>
    <w:rsid w:val="005C28F1"/>
    <w:rsid w:val="005C49FE"/>
    <w:rsid w:val="005D0986"/>
    <w:rsid w:val="005D197A"/>
    <w:rsid w:val="005D2B25"/>
    <w:rsid w:val="005F425E"/>
    <w:rsid w:val="00610826"/>
    <w:rsid w:val="0061474A"/>
    <w:rsid w:val="006267E2"/>
    <w:rsid w:val="006460AB"/>
    <w:rsid w:val="00647278"/>
    <w:rsid w:val="00653EF6"/>
    <w:rsid w:val="0066202D"/>
    <w:rsid w:val="006A6D02"/>
    <w:rsid w:val="006C3623"/>
    <w:rsid w:val="006D48DE"/>
    <w:rsid w:val="006D4934"/>
    <w:rsid w:val="006F0024"/>
    <w:rsid w:val="0072377A"/>
    <w:rsid w:val="00743459"/>
    <w:rsid w:val="00752943"/>
    <w:rsid w:val="00766F26"/>
    <w:rsid w:val="0077592F"/>
    <w:rsid w:val="007855A8"/>
    <w:rsid w:val="00792891"/>
    <w:rsid w:val="007A2542"/>
    <w:rsid w:val="007B3C0C"/>
    <w:rsid w:val="007E50C4"/>
    <w:rsid w:val="007F03DB"/>
    <w:rsid w:val="007F3FB6"/>
    <w:rsid w:val="007F5B28"/>
    <w:rsid w:val="00800F90"/>
    <w:rsid w:val="00803CB8"/>
    <w:rsid w:val="00804ECD"/>
    <w:rsid w:val="00805B68"/>
    <w:rsid w:val="0080787E"/>
    <w:rsid w:val="00807D48"/>
    <w:rsid w:val="008202A1"/>
    <w:rsid w:val="00823372"/>
    <w:rsid w:val="00832990"/>
    <w:rsid w:val="00837B1D"/>
    <w:rsid w:val="00857CE5"/>
    <w:rsid w:val="00873999"/>
    <w:rsid w:val="008B1FC2"/>
    <w:rsid w:val="008D0C9E"/>
    <w:rsid w:val="008D2DCD"/>
    <w:rsid w:val="008D5EA0"/>
    <w:rsid w:val="008E12E0"/>
    <w:rsid w:val="008F411C"/>
    <w:rsid w:val="0090278C"/>
    <w:rsid w:val="0092015A"/>
    <w:rsid w:val="009649BA"/>
    <w:rsid w:val="00990436"/>
    <w:rsid w:val="00996A2A"/>
    <w:rsid w:val="009A4B38"/>
    <w:rsid w:val="009A6A41"/>
    <w:rsid w:val="009C3B78"/>
    <w:rsid w:val="009D29CA"/>
    <w:rsid w:val="009E10AF"/>
    <w:rsid w:val="009E3FDE"/>
    <w:rsid w:val="009F0227"/>
    <w:rsid w:val="00A1197C"/>
    <w:rsid w:val="00A669C8"/>
    <w:rsid w:val="00A85A15"/>
    <w:rsid w:val="00AA0C93"/>
    <w:rsid w:val="00AB0C17"/>
    <w:rsid w:val="00AB0F5A"/>
    <w:rsid w:val="00AB1B61"/>
    <w:rsid w:val="00AB4102"/>
    <w:rsid w:val="00AC0658"/>
    <w:rsid w:val="00AC1623"/>
    <w:rsid w:val="00AD1D6B"/>
    <w:rsid w:val="00AD29E6"/>
    <w:rsid w:val="00AE7EC2"/>
    <w:rsid w:val="00B00AE8"/>
    <w:rsid w:val="00B10F0E"/>
    <w:rsid w:val="00B2399A"/>
    <w:rsid w:val="00B338A8"/>
    <w:rsid w:val="00B41519"/>
    <w:rsid w:val="00B52496"/>
    <w:rsid w:val="00B54028"/>
    <w:rsid w:val="00B56373"/>
    <w:rsid w:val="00B8152D"/>
    <w:rsid w:val="00B816FD"/>
    <w:rsid w:val="00B9081F"/>
    <w:rsid w:val="00B92213"/>
    <w:rsid w:val="00B97D8B"/>
    <w:rsid w:val="00BC2821"/>
    <w:rsid w:val="00BC4672"/>
    <w:rsid w:val="00BC52E7"/>
    <w:rsid w:val="00BD5354"/>
    <w:rsid w:val="00BE402A"/>
    <w:rsid w:val="00BF21BC"/>
    <w:rsid w:val="00BF4A6D"/>
    <w:rsid w:val="00C064A4"/>
    <w:rsid w:val="00C13154"/>
    <w:rsid w:val="00C15F81"/>
    <w:rsid w:val="00C16722"/>
    <w:rsid w:val="00C17234"/>
    <w:rsid w:val="00C230D5"/>
    <w:rsid w:val="00C55EAE"/>
    <w:rsid w:val="00C57128"/>
    <w:rsid w:val="00C75CB7"/>
    <w:rsid w:val="00C80558"/>
    <w:rsid w:val="00C80C39"/>
    <w:rsid w:val="00CA499C"/>
    <w:rsid w:val="00CB396F"/>
    <w:rsid w:val="00CB3A6C"/>
    <w:rsid w:val="00CB7017"/>
    <w:rsid w:val="00CD1888"/>
    <w:rsid w:val="00CD19E7"/>
    <w:rsid w:val="00D0411E"/>
    <w:rsid w:val="00D176F9"/>
    <w:rsid w:val="00D30653"/>
    <w:rsid w:val="00D36764"/>
    <w:rsid w:val="00D5323B"/>
    <w:rsid w:val="00D61529"/>
    <w:rsid w:val="00D63BE3"/>
    <w:rsid w:val="00D67E9C"/>
    <w:rsid w:val="00D7066B"/>
    <w:rsid w:val="00DA1639"/>
    <w:rsid w:val="00DA3998"/>
    <w:rsid w:val="00DA4AB0"/>
    <w:rsid w:val="00DB5BA8"/>
    <w:rsid w:val="00DC240E"/>
    <w:rsid w:val="00DD340C"/>
    <w:rsid w:val="00DE1211"/>
    <w:rsid w:val="00DE6FCA"/>
    <w:rsid w:val="00E068E1"/>
    <w:rsid w:val="00E14797"/>
    <w:rsid w:val="00E34CD2"/>
    <w:rsid w:val="00E536F6"/>
    <w:rsid w:val="00E62359"/>
    <w:rsid w:val="00E7537B"/>
    <w:rsid w:val="00E777EB"/>
    <w:rsid w:val="00E77A20"/>
    <w:rsid w:val="00E9370D"/>
    <w:rsid w:val="00EA7578"/>
    <w:rsid w:val="00EC32A9"/>
    <w:rsid w:val="00EF741A"/>
    <w:rsid w:val="00F01DE7"/>
    <w:rsid w:val="00F04152"/>
    <w:rsid w:val="00F25A31"/>
    <w:rsid w:val="00F43478"/>
    <w:rsid w:val="00F53A09"/>
    <w:rsid w:val="00F56621"/>
    <w:rsid w:val="00F60E45"/>
    <w:rsid w:val="00F645AE"/>
    <w:rsid w:val="00F802FA"/>
    <w:rsid w:val="00F81564"/>
    <w:rsid w:val="00FA0A12"/>
    <w:rsid w:val="00FA34EC"/>
    <w:rsid w:val="00FD7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ADC78"/>
  <w15:chartTrackingRefBased/>
  <w15:docId w15:val="{28FCCA73-7366-40AC-AFE1-257ED15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inutes Normal"/>
    <w:qFormat/>
    <w:rsid w:val="003E43A4"/>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uiPriority w:val="9"/>
    <w:qFormat/>
    <w:rsid w:val="001519FF"/>
    <w:pPr>
      <w:keepNext/>
      <w:keepLines/>
      <w:spacing w:before="240" w:line="276" w:lineRule="auto"/>
      <w:jc w:val="center"/>
      <w:outlineLvl w:val="0"/>
    </w:pPr>
    <w:rPr>
      <w:rFonts w:eastAsiaTheme="majorEastAsia" w:cstheme="majorBidi"/>
      <w:b/>
      <w:color w:val="1F4E79" w:themeColor="accent1" w:themeShade="80"/>
      <w:sz w:val="44"/>
      <w:szCs w:val="32"/>
    </w:rPr>
  </w:style>
  <w:style w:type="paragraph" w:styleId="Heading2">
    <w:name w:val="heading 2"/>
    <w:basedOn w:val="Normal"/>
    <w:next w:val="Normal"/>
    <w:link w:val="Heading2Char"/>
    <w:autoRedefine/>
    <w:uiPriority w:val="9"/>
    <w:unhideWhenUsed/>
    <w:qFormat/>
    <w:rsid w:val="00AC0658"/>
    <w:pPr>
      <w:keepNext/>
      <w:keepLines/>
      <w:spacing w:before="40" w:line="276" w:lineRule="auto"/>
      <w:outlineLvl w:val="1"/>
    </w:pPr>
    <w:rPr>
      <w:rFonts w:eastAsiaTheme="majorEastAsia" w:cstheme="majorBidi"/>
      <w:b/>
      <w:color w:val="1F4E79" w:themeColor="accent1" w:themeShade="80"/>
      <w:sz w:val="32"/>
      <w:szCs w:val="26"/>
    </w:rPr>
  </w:style>
  <w:style w:type="paragraph" w:styleId="Heading3">
    <w:name w:val="heading 3"/>
    <w:basedOn w:val="Normal"/>
    <w:next w:val="Normal"/>
    <w:link w:val="Heading3Char"/>
    <w:autoRedefine/>
    <w:uiPriority w:val="9"/>
    <w:unhideWhenUsed/>
    <w:qFormat/>
    <w:rsid w:val="00CB7017"/>
    <w:pPr>
      <w:keepNext/>
      <w:keepLines/>
      <w:spacing w:before="40" w:line="360" w:lineRule="auto"/>
      <w:outlineLvl w:val="2"/>
    </w:pPr>
    <w:rPr>
      <w:rFonts w:eastAsiaTheme="majorEastAsia" w:cstheme="majorBidi"/>
      <w:b/>
      <w:color w:val="1F4D78"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9FF"/>
    <w:rPr>
      <w:rFonts w:ascii="Arial" w:eastAsiaTheme="majorEastAsia" w:hAnsi="Arial" w:cstheme="majorBidi"/>
      <w:b/>
      <w:color w:val="1F4E79" w:themeColor="accent1" w:themeShade="80"/>
      <w:sz w:val="44"/>
      <w:szCs w:val="32"/>
      <w:lang w:eastAsia="en-GB"/>
    </w:rPr>
  </w:style>
  <w:style w:type="paragraph" w:styleId="NoSpacing">
    <w:name w:val="No Spacing"/>
    <w:uiPriority w:val="1"/>
    <w:qFormat/>
    <w:rsid w:val="00BC52E7"/>
    <w:pPr>
      <w:spacing w:after="0" w:line="240" w:lineRule="auto"/>
    </w:pPr>
  </w:style>
  <w:style w:type="character" w:customStyle="1" w:styleId="Heading2Char">
    <w:name w:val="Heading 2 Char"/>
    <w:basedOn w:val="DefaultParagraphFont"/>
    <w:link w:val="Heading2"/>
    <w:uiPriority w:val="9"/>
    <w:rsid w:val="00AC0658"/>
    <w:rPr>
      <w:rFonts w:ascii="Arial" w:eastAsiaTheme="majorEastAsia" w:hAnsi="Arial" w:cstheme="majorBidi"/>
      <w:b/>
      <w:color w:val="1F4E79" w:themeColor="accent1" w:themeShade="80"/>
      <w:sz w:val="32"/>
      <w:szCs w:val="26"/>
      <w:lang w:eastAsia="en-GB"/>
    </w:rPr>
  </w:style>
  <w:style w:type="paragraph" w:styleId="Subtitle">
    <w:name w:val="Subtitle"/>
    <w:basedOn w:val="Normal"/>
    <w:next w:val="Normal"/>
    <w:link w:val="SubtitleChar"/>
    <w:autoRedefine/>
    <w:uiPriority w:val="11"/>
    <w:qFormat/>
    <w:rsid w:val="00D5323B"/>
    <w:pPr>
      <w:numPr>
        <w:ilvl w:val="1"/>
      </w:numPr>
      <w:spacing w:after="16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D5323B"/>
    <w:rPr>
      <w:rFonts w:ascii="Arial" w:eastAsiaTheme="minorEastAsia" w:hAnsi="Arial"/>
      <w:color w:val="5A5A5A" w:themeColor="text1" w:themeTint="A5"/>
      <w:spacing w:val="15"/>
      <w:sz w:val="28"/>
    </w:rPr>
  </w:style>
  <w:style w:type="paragraph" w:customStyle="1" w:styleId="MinutesTitle">
    <w:name w:val="Minutes Title"/>
    <w:basedOn w:val="Normal"/>
    <w:link w:val="MinutesTitleChar"/>
    <w:autoRedefine/>
    <w:qFormat/>
    <w:rsid w:val="009A4B38"/>
    <w:rPr>
      <w:b/>
      <w:sz w:val="32"/>
    </w:rPr>
  </w:style>
  <w:style w:type="character" w:customStyle="1" w:styleId="MinutesTitleChar">
    <w:name w:val="Minutes Title Char"/>
    <w:basedOn w:val="DefaultParagraphFont"/>
    <w:link w:val="MinutesTitle"/>
    <w:rsid w:val="009A4B38"/>
    <w:rPr>
      <w:rFonts w:ascii="Arial" w:eastAsia="Times New Roman" w:hAnsi="Arial" w:cs="Times New Roman"/>
      <w:b/>
      <w:sz w:val="32"/>
      <w:szCs w:val="24"/>
      <w:lang w:eastAsia="en-GB"/>
    </w:rPr>
  </w:style>
  <w:style w:type="paragraph" w:customStyle="1" w:styleId="MinutesSubtitle">
    <w:name w:val="Minutes Subtitle"/>
    <w:basedOn w:val="Normal"/>
    <w:link w:val="MinutesSubtitleChar"/>
    <w:autoRedefine/>
    <w:qFormat/>
    <w:rsid w:val="00015A57"/>
    <w:rPr>
      <w:sz w:val="32"/>
    </w:rPr>
  </w:style>
  <w:style w:type="character" w:customStyle="1" w:styleId="MinutesSubtitleChar">
    <w:name w:val="Minutes Subtitle Char"/>
    <w:basedOn w:val="DefaultParagraphFont"/>
    <w:link w:val="MinutesSubtitle"/>
    <w:rsid w:val="00015A57"/>
    <w:rPr>
      <w:rFonts w:ascii="Arial" w:hAnsi="Arial"/>
      <w:sz w:val="32"/>
    </w:rPr>
  </w:style>
  <w:style w:type="paragraph" w:customStyle="1" w:styleId="MinutesHeading1">
    <w:name w:val="Minutes Heading1"/>
    <w:basedOn w:val="Normal"/>
    <w:link w:val="MinutesHeading1Char"/>
    <w:autoRedefine/>
    <w:qFormat/>
    <w:rsid w:val="00015A57"/>
    <w:rPr>
      <w:b/>
      <w:sz w:val="28"/>
    </w:rPr>
  </w:style>
  <w:style w:type="character" w:customStyle="1" w:styleId="MinutesHeading1Char">
    <w:name w:val="Minutes Heading1 Char"/>
    <w:basedOn w:val="DefaultParagraphFont"/>
    <w:link w:val="MinutesHeading1"/>
    <w:rsid w:val="00015A57"/>
    <w:rPr>
      <w:rFonts w:ascii="Arial" w:hAnsi="Arial"/>
      <w:b/>
      <w:sz w:val="28"/>
    </w:rPr>
  </w:style>
  <w:style w:type="paragraph" w:customStyle="1" w:styleId="MinutesHeading2">
    <w:name w:val="Minutes Heading2"/>
    <w:basedOn w:val="Normal"/>
    <w:link w:val="MinutesHeading2Char"/>
    <w:autoRedefine/>
    <w:qFormat/>
    <w:rsid w:val="00015A57"/>
    <w:rPr>
      <w:sz w:val="28"/>
    </w:rPr>
  </w:style>
  <w:style w:type="character" w:customStyle="1" w:styleId="MinutesHeading2Char">
    <w:name w:val="Minutes Heading2 Char"/>
    <w:basedOn w:val="DefaultParagraphFont"/>
    <w:link w:val="MinutesHeading2"/>
    <w:rsid w:val="00015A57"/>
    <w:rPr>
      <w:rFonts w:ascii="Arial" w:hAnsi="Arial"/>
      <w:sz w:val="28"/>
    </w:rPr>
  </w:style>
  <w:style w:type="paragraph" w:customStyle="1" w:styleId="MinutesBody">
    <w:name w:val="Minutes Body"/>
    <w:basedOn w:val="Normal"/>
    <w:link w:val="MinutesBodyChar"/>
    <w:autoRedefine/>
    <w:qFormat/>
    <w:rsid w:val="00015A57"/>
  </w:style>
  <w:style w:type="character" w:customStyle="1" w:styleId="MinutesBodyChar">
    <w:name w:val="Minutes Body Char"/>
    <w:basedOn w:val="DefaultParagraphFont"/>
    <w:link w:val="MinutesBody"/>
    <w:rsid w:val="00015A57"/>
    <w:rPr>
      <w:rFonts w:ascii="Arial" w:hAnsi="Arial"/>
      <w:sz w:val="24"/>
    </w:rPr>
  </w:style>
  <w:style w:type="paragraph" w:styleId="Title">
    <w:name w:val="Title"/>
    <w:basedOn w:val="Normal"/>
    <w:next w:val="Normal"/>
    <w:link w:val="TitleChar"/>
    <w:autoRedefine/>
    <w:uiPriority w:val="10"/>
    <w:qFormat/>
    <w:rsid w:val="009E10AF"/>
    <w:pPr>
      <w:contextualSpacing/>
      <w:jc w:val="center"/>
    </w:pPr>
    <w:rPr>
      <w:rFonts w:eastAsiaTheme="majorEastAsia" w:cstheme="majorBidi"/>
      <w:b/>
      <w:color w:val="1F4E79" w:themeColor="accent1" w:themeShade="80"/>
      <w:spacing w:val="-10"/>
      <w:kern w:val="28"/>
      <w:sz w:val="44"/>
      <w:szCs w:val="56"/>
    </w:rPr>
  </w:style>
  <w:style w:type="character" w:customStyle="1" w:styleId="TitleChar">
    <w:name w:val="Title Char"/>
    <w:basedOn w:val="DefaultParagraphFont"/>
    <w:link w:val="Title"/>
    <w:uiPriority w:val="10"/>
    <w:rsid w:val="009E10AF"/>
    <w:rPr>
      <w:rFonts w:ascii="Arial" w:eastAsiaTheme="majorEastAsia" w:hAnsi="Arial" w:cstheme="majorBidi"/>
      <w:b/>
      <w:color w:val="1F4E79" w:themeColor="accent1" w:themeShade="80"/>
      <w:spacing w:val="-10"/>
      <w:kern w:val="28"/>
      <w:sz w:val="44"/>
      <w:szCs w:val="56"/>
      <w:lang w:eastAsia="en-GB"/>
    </w:rPr>
  </w:style>
  <w:style w:type="paragraph" w:customStyle="1" w:styleId="Heading20">
    <w:name w:val="Heading2"/>
    <w:basedOn w:val="Normal"/>
    <w:link w:val="Heading2Char0"/>
    <w:autoRedefine/>
    <w:qFormat/>
    <w:rsid w:val="001824A0"/>
    <w:pPr>
      <w:autoSpaceDE w:val="0"/>
      <w:autoSpaceDN w:val="0"/>
      <w:adjustRightInd w:val="0"/>
      <w:spacing w:after="160" w:line="276" w:lineRule="auto"/>
      <w:ind w:left="-567"/>
    </w:pPr>
    <w:rPr>
      <w:b/>
      <w:color w:val="1F4E79" w:themeColor="accent1" w:themeShade="80"/>
      <w:sz w:val="28"/>
    </w:rPr>
  </w:style>
  <w:style w:type="character" w:customStyle="1" w:styleId="Heading2Char0">
    <w:name w:val="Heading2 Char"/>
    <w:basedOn w:val="DefaultParagraphFont"/>
    <w:link w:val="Heading20"/>
    <w:rsid w:val="001824A0"/>
    <w:rPr>
      <w:rFonts w:ascii="Arial" w:eastAsia="Times New Roman" w:hAnsi="Arial" w:cs="Times New Roman"/>
      <w:b/>
      <w:color w:val="1F4E79" w:themeColor="accent1" w:themeShade="80"/>
      <w:sz w:val="28"/>
      <w:szCs w:val="24"/>
      <w:lang w:eastAsia="en-GB"/>
    </w:rPr>
  </w:style>
  <w:style w:type="paragraph" w:customStyle="1" w:styleId="Heading10">
    <w:name w:val="Heading1"/>
    <w:basedOn w:val="Normal"/>
    <w:link w:val="Heading1Char0"/>
    <w:autoRedefine/>
    <w:qFormat/>
    <w:rsid w:val="00AB0C17"/>
    <w:pPr>
      <w:autoSpaceDE w:val="0"/>
      <w:autoSpaceDN w:val="0"/>
      <w:adjustRightInd w:val="0"/>
      <w:spacing w:after="160" w:line="276" w:lineRule="auto"/>
    </w:pPr>
    <w:rPr>
      <w:b/>
      <w:color w:val="1F4E79" w:themeColor="accent1" w:themeShade="80"/>
      <w:sz w:val="32"/>
    </w:rPr>
  </w:style>
  <w:style w:type="character" w:customStyle="1" w:styleId="Heading1Char0">
    <w:name w:val="Heading1 Char"/>
    <w:basedOn w:val="DefaultParagraphFont"/>
    <w:link w:val="Heading10"/>
    <w:rsid w:val="00AB0C17"/>
    <w:rPr>
      <w:rFonts w:ascii="Arial" w:eastAsia="Times New Roman" w:hAnsi="Arial" w:cs="Times New Roman"/>
      <w:b/>
      <w:color w:val="1F4E79" w:themeColor="accent1" w:themeShade="80"/>
      <w:sz w:val="32"/>
      <w:szCs w:val="24"/>
      <w:lang w:eastAsia="en-GB"/>
    </w:rPr>
  </w:style>
  <w:style w:type="paragraph" w:customStyle="1" w:styleId="Body">
    <w:name w:val="Body"/>
    <w:basedOn w:val="Normal"/>
    <w:next w:val="Normal"/>
    <w:link w:val="BodyChar"/>
    <w:autoRedefine/>
    <w:qFormat/>
    <w:rsid w:val="00B52496"/>
    <w:pPr>
      <w:numPr>
        <w:numId w:val="6"/>
      </w:numPr>
      <w:ind w:hanging="360"/>
    </w:pPr>
    <w:rPr>
      <w:rFonts w:cs="Arial"/>
    </w:rPr>
  </w:style>
  <w:style w:type="character" w:customStyle="1" w:styleId="BodyChar">
    <w:name w:val="Body Char"/>
    <w:basedOn w:val="DefaultParagraphFont"/>
    <w:link w:val="Body"/>
    <w:rsid w:val="00B52496"/>
    <w:rPr>
      <w:rFonts w:ascii="Arial" w:eastAsia="Times New Roman" w:hAnsi="Arial" w:cs="Arial"/>
      <w:sz w:val="24"/>
      <w:szCs w:val="24"/>
      <w:lang w:eastAsia="en-GB"/>
    </w:rPr>
  </w:style>
  <w:style w:type="paragraph" w:styleId="ListParagraph">
    <w:name w:val="List Paragraph"/>
    <w:basedOn w:val="Normal"/>
    <w:autoRedefine/>
    <w:uiPriority w:val="34"/>
    <w:qFormat/>
    <w:rsid w:val="00DA3998"/>
    <w:pPr>
      <w:numPr>
        <w:numId w:val="10"/>
      </w:numPr>
      <w:autoSpaceDE w:val="0"/>
      <w:autoSpaceDN w:val="0"/>
      <w:adjustRightInd w:val="0"/>
      <w:spacing w:line="276" w:lineRule="auto"/>
      <w:jc w:val="both"/>
    </w:pPr>
  </w:style>
  <w:style w:type="paragraph" w:customStyle="1" w:styleId="MainBody">
    <w:name w:val="MainBody"/>
    <w:basedOn w:val="Normal"/>
    <w:link w:val="MainBodyChar"/>
    <w:autoRedefine/>
    <w:qFormat/>
    <w:rsid w:val="008202A1"/>
    <w:pPr>
      <w:autoSpaceDE w:val="0"/>
      <w:autoSpaceDN w:val="0"/>
      <w:adjustRightInd w:val="0"/>
      <w:spacing w:after="160" w:line="360" w:lineRule="auto"/>
      <w:jc w:val="both"/>
    </w:pPr>
    <w:rPr>
      <w:rFonts w:cs="Arial"/>
    </w:rPr>
  </w:style>
  <w:style w:type="character" w:customStyle="1" w:styleId="MainBodyChar">
    <w:name w:val="MainBody Char"/>
    <w:basedOn w:val="DefaultParagraphFont"/>
    <w:link w:val="MainBody"/>
    <w:rsid w:val="008202A1"/>
    <w:rPr>
      <w:rFonts w:ascii="Arial" w:eastAsia="Times New Roman" w:hAnsi="Arial" w:cs="Arial"/>
      <w:sz w:val="24"/>
      <w:szCs w:val="24"/>
      <w:lang w:eastAsia="en-GB"/>
    </w:rPr>
  </w:style>
  <w:style w:type="paragraph" w:customStyle="1" w:styleId="Hewading3">
    <w:name w:val="Hewading3"/>
    <w:basedOn w:val="MainBody"/>
    <w:link w:val="Hewading3Char"/>
    <w:autoRedefine/>
    <w:qFormat/>
    <w:rsid w:val="00117948"/>
    <w:rPr>
      <w:b/>
    </w:rPr>
  </w:style>
  <w:style w:type="character" w:customStyle="1" w:styleId="Hewading3Char">
    <w:name w:val="Hewading3 Char"/>
    <w:basedOn w:val="MainBodyChar"/>
    <w:link w:val="Hewading3"/>
    <w:rsid w:val="00117948"/>
    <w:rPr>
      <w:rFonts w:ascii="Arial" w:eastAsia="Times New Roman" w:hAnsi="Arial" w:cs="Arial"/>
      <w:b/>
      <w:sz w:val="24"/>
      <w:szCs w:val="24"/>
      <w:lang w:eastAsia="en-GB"/>
    </w:rPr>
  </w:style>
  <w:style w:type="paragraph" w:customStyle="1" w:styleId="MainBodyItalic">
    <w:name w:val="MainBodyItalic"/>
    <w:basedOn w:val="MainBody"/>
    <w:link w:val="MainBodyItalicChar"/>
    <w:autoRedefine/>
    <w:qFormat/>
    <w:rsid w:val="00117948"/>
    <w:rPr>
      <w:i/>
    </w:rPr>
  </w:style>
  <w:style w:type="character" w:customStyle="1" w:styleId="MainBodyItalicChar">
    <w:name w:val="MainBodyItalic Char"/>
    <w:basedOn w:val="MainBodyChar"/>
    <w:link w:val="MainBodyItalic"/>
    <w:rsid w:val="00117948"/>
    <w:rPr>
      <w:rFonts w:ascii="Arial" w:eastAsia="Times New Roman" w:hAnsi="Arial" w:cs="Arial"/>
      <w:i/>
      <w:sz w:val="24"/>
      <w:szCs w:val="24"/>
      <w:lang w:eastAsia="en-GB"/>
    </w:rPr>
  </w:style>
  <w:style w:type="character" w:customStyle="1" w:styleId="Heading3Char">
    <w:name w:val="Heading 3 Char"/>
    <w:basedOn w:val="DefaultParagraphFont"/>
    <w:link w:val="Heading3"/>
    <w:uiPriority w:val="9"/>
    <w:rsid w:val="00CB7017"/>
    <w:rPr>
      <w:rFonts w:ascii="Arial" w:eastAsiaTheme="majorEastAsia" w:hAnsi="Arial" w:cstheme="majorBidi"/>
      <w:b/>
      <w:color w:val="1F4D78" w:themeColor="accent1" w:themeShade="7F"/>
      <w:sz w:val="28"/>
      <w:szCs w:val="24"/>
      <w:lang w:eastAsia="en-GB"/>
    </w:rPr>
  </w:style>
  <w:style w:type="paragraph" w:customStyle="1" w:styleId="LegHeading1">
    <w:name w:val="LegHeading1"/>
    <w:basedOn w:val="MainBodyItalic"/>
    <w:link w:val="LegHeading1Char"/>
    <w:autoRedefine/>
    <w:qFormat/>
    <w:rsid w:val="003662E3"/>
    <w:pPr>
      <w:outlineLvl w:val="1"/>
    </w:pPr>
  </w:style>
  <w:style w:type="character" w:customStyle="1" w:styleId="LegHeading1Char">
    <w:name w:val="LegHeading1 Char"/>
    <w:basedOn w:val="MainBodyItalicChar"/>
    <w:link w:val="LegHeading1"/>
    <w:rsid w:val="003662E3"/>
    <w:rPr>
      <w:rFonts w:ascii="Arial" w:eastAsia="Times New Roman" w:hAnsi="Arial" w:cs="Arial"/>
      <w:i/>
      <w:sz w:val="24"/>
      <w:szCs w:val="24"/>
      <w:lang w:eastAsia="en-GB"/>
    </w:rPr>
  </w:style>
  <w:style w:type="character" w:styleId="CommentReference">
    <w:name w:val="annotation reference"/>
    <w:basedOn w:val="DefaultParagraphFont"/>
    <w:uiPriority w:val="99"/>
    <w:semiHidden/>
    <w:unhideWhenUsed/>
    <w:rsid w:val="000E58E6"/>
    <w:rPr>
      <w:sz w:val="16"/>
      <w:szCs w:val="16"/>
    </w:rPr>
  </w:style>
  <w:style w:type="paragraph" w:styleId="CommentText">
    <w:name w:val="annotation text"/>
    <w:basedOn w:val="Normal"/>
    <w:link w:val="CommentTextChar"/>
    <w:uiPriority w:val="99"/>
    <w:semiHidden/>
    <w:unhideWhenUsed/>
    <w:rsid w:val="000E58E6"/>
    <w:rPr>
      <w:sz w:val="20"/>
      <w:szCs w:val="20"/>
    </w:rPr>
  </w:style>
  <w:style w:type="character" w:customStyle="1" w:styleId="CommentTextChar">
    <w:name w:val="Comment Text Char"/>
    <w:basedOn w:val="DefaultParagraphFont"/>
    <w:link w:val="CommentText"/>
    <w:uiPriority w:val="99"/>
    <w:semiHidden/>
    <w:rsid w:val="000E58E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58E6"/>
    <w:rPr>
      <w:b/>
      <w:bCs/>
    </w:rPr>
  </w:style>
  <w:style w:type="character" w:customStyle="1" w:styleId="CommentSubjectChar">
    <w:name w:val="Comment Subject Char"/>
    <w:basedOn w:val="CommentTextChar"/>
    <w:link w:val="CommentSubject"/>
    <w:uiPriority w:val="99"/>
    <w:semiHidden/>
    <w:rsid w:val="000E58E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5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8E6"/>
    <w:rPr>
      <w:rFonts w:ascii="Segoe UI" w:eastAsia="Times New Roman" w:hAnsi="Segoe UI" w:cs="Segoe UI"/>
      <w:sz w:val="18"/>
      <w:szCs w:val="18"/>
      <w:lang w:eastAsia="en-GB"/>
    </w:rPr>
  </w:style>
  <w:style w:type="character" w:styleId="Hyperlink">
    <w:name w:val="Hyperlink"/>
    <w:basedOn w:val="DefaultParagraphFont"/>
    <w:uiPriority w:val="99"/>
    <w:unhideWhenUsed/>
    <w:rsid w:val="00766F26"/>
    <w:rPr>
      <w:color w:val="0563C1" w:themeColor="hyperlink"/>
      <w:u w:val="single"/>
    </w:rPr>
  </w:style>
  <w:style w:type="paragraph" w:customStyle="1" w:styleId="Default">
    <w:name w:val="Default"/>
    <w:rsid w:val="007855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D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7A20"/>
    <w:rPr>
      <w:sz w:val="20"/>
      <w:szCs w:val="20"/>
    </w:rPr>
  </w:style>
  <w:style w:type="character" w:customStyle="1" w:styleId="FootnoteTextChar">
    <w:name w:val="Footnote Text Char"/>
    <w:basedOn w:val="DefaultParagraphFont"/>
    <w:link w:val="FootnoteText"/>
    <w:uiPriority w:val="99"/>
    <w:semiHidden/>
    <w:rsid w:val="00E77A2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E77A20"/>
    <w:rPr>
      <w:vertAlign w:val="superscript"/>
    </w:rPr>
  </w:style>
  <w:style w:type="paragraph" w:styleId="Header">
    <w:name w:val="header"/>
    <w:basedOn w:val="Normal"/>
    <w:link w:val="HeaderChar"/>
    <w:uiPriority w:val="99"/>
    <w:unhideWhenUsed/>
    <w:rsid w:val="009E10AF"/>
    <w:pPr>
      <w:tabs>
        <w:tab w:val="center" w:pos="4513"/>
        <w:tab w:val="right" w:pos="9026"/>
      </w:tabs>
    </w:pPr>
  </w:style>
  <w:style w:type="character" w:customStyle="1" w:styleId="HeaderChar">
    <w:name w:val="Header Char"/>
    <w:basedOn w:val="DefaultParagraphFont"/>
    <w:link w:val="Header"/>
    <w:uiPriority w:val="99"/>
    <w:rsid w:val="009E10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E10AF"/>
    <w:pPr>
      <w:tabs>
        <w:tab w:val="center" w:pos="4513"/>
        <w:tab w:val="right" w:pos="9026"/>
      </w:tabs>
    </w:pPr>
  </w:style>
  <w:style w:type="character" w:customStyle="1" w:styleId="FooterChar">
    <w:name w:val="Footer Char"/>
    <w:basedOn w:val="DefaultParagraphFont"/>
    <w:link w:val="Footer"/>
    <w:uiPriority w:val="99"/>
    <w:rsid w:val="009E10AF"/>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52496"/>
    <w:rPr>
      <w:i/>
      <w:iCs/>
    </w:rPr>
  </w:style>
  <w:style w:type="character" w:customStyle="1" w:styleId="UnresolvedMention">
    <w:name w:val="Unresolved Mention"/>
    <w:basedOn w:val="DefaultParagraphFont"/>
    <w:uiPriority w:val="99"/>
    <w:semiHidden/>
    <w:unhideWhenUsed/>
    <w:rsid w:val="0048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4989">
      <w:bodyDiv w:val="1"/>
      <w:marLeft w:val="0"/>
      <w:marRight w:val="0"/>
      <w:marTop w:val="0"/>
      <w:marBottom w:val="0"/>
      <w:divBdr>
        <w:top w:val="none" w:sz="0" w:space="0" w:color="auto"/>
        <w:left w:val="none" w:sz="0" w:space="0" w:color="auto"/>
        <w:bottom w:val="none" w:sz="0" w:space="0" w:color="auto"/>
        <w:right w:val="none" w:sz="0" w:space="0" w:color="auto"/>
      </w:divBdr>
    </w:div>
    <w:div w:id="1493060851">
      <w:bodyDiv w:val="1"/>
      <w:marLeft w:val="0"/>
      <w:marRight w:val="0"/>
      <w:marTop w:val="0"/>
      <w:marBottom w:val="0"/>
      <w:divBdr>
        <w:top w:val="none" w:sz="0" w:space="0" w:color="auto"/>
        <w:left w:val="none" w:sz="0" w:space="0" w:color="auto"/>
        <w:bottom w:val="none" w:sz="0" w:space="0" w:color="auto"/>
        <w:right w:val="none" w:sz="0" w:space="0" w:color="auto"/>
      </w:divBdr>
      <w:divsChild>
        <w:div w:id="1030958538">
          <w:marLeft w:val="0"/>
          <w:marRight w:val="0"/>
          <w:marTop w:val="0"/>
          <w:marBottom w:val="0"/>
          <w:divBdr>
            <w:top w:val="none" w:sz="0" w:space="0" w:color="auto"/>
            <w:left w:val="none" w:sz="0" w:space="0" w:color="auto"/>
            <w:bottom w:val="none" w:sz="0" w:space="0" w:color="auto"/>
            <w:right w:val="none" w:sz="0" w:space="0" w:color="auto"/>
          </w:divBdr>
        </w:div>
        <w:div w:id="955908532">
          <w:marLeft w:val="0"/>
          <w:marRight w:val="0"/>
          <w:marTop w:val="0"/>
          <w:marBottom w:val="0"/>
          <w:divBdr>
            <w:top w:val="none" w:sz="0" w:space="0" w:color="auto"/>
            <w:left w:val="none" w:sz="0" w:space="0" w:color="auto"/>
            <w:bottom w:val="none" w:sz="0" w:space="0" w:color="auto"/>
            <w:right w:val="none" w:sz="0" w:space="0" w:color="auto"/>
          </w:divBdr>
          <w:divsChild>
            <w:div w:id="2059469198">
              <w:marLeft w:val="0"/>
              <w:marRight w:val="0"/>
              <w:marTop w:val="0"/>
              <w:marBottom w:val="0"/>
              <w:divBdr>
                <w:top w:val="none" w:sz="0" w:space="0" w:color="auto"/>
                <w:left w:val="none" w:sz="0" w:space="0" w:color="auto"/>
                <w:bottom w:val="none" w:sz="0" w:space="0" w:color="auto"/>
                <w:right w:val="none" w:sz="0" w:space="0" w:color="auto"/>
              </w:divBdr>
              <w:divsChild>
                <w:div w:id="1252355336">
                  <w:marLeft w:val="0"/>
                  <w:marRight w:val="0"/>
                  <w:marTop w:val="0"/>
                  <w:marBottom w:val="0"/>
                  <w:divBdr>
                    <w:top w:val="none" w:sz="0" w:space="0" w:color="auto"/>
                    <w:left w:val="none" w:sz="0" w:space="0" w:color="auto"/>
                    <w:bottom w:val="none" w:sz="0" w:space="0" w:color="auto"/>
                    <w:right w:val="none" w:sz="0" w:space="0" w:color="auto"/>
                  </w:divBdr>
                  <w:divsChild>
                    <w:div w:id="2085908346">
                      <w:marLeft w:val="0"/>
                      <w:marRight w:val="0"/>
                      <w:marTop w:val="0"/>
                      <w:marBottom w:val="0"/>
                      <w:divBdr>
                        <w:top w:val="none" w:sz="0" w:space="0" w:color="auto"/>
                        <w:left w:val="none" w:sz="0" w:space="0" w:color="auto"/>
                        <w:bottom w:val="none" w:sz="0" w:space="0" w:color="auto"/>
                        <w:right w:val="none" w:sz="0" w:space="0" w:color="auto"/>
                      </w:divBdr>
                      <w:divsChild>
                        <w:div w:id="92215498">
                          <w:marLeft w:val="0"/>
                          <w:marRight w:val="0"/>
                          <w:marTop w:val="0"/>
                          <w:marBottom w:val="0"/>
                          <w:divBdr>
                            <w:top w:val="none" w:sz="0" w:space="0" w:color="auto"/>
                            <w:left w:val="none" w:sz="0" w:space="0" w:color="auto"/>
                            <w:bottom w:val="none" w:sz="0" w:space="0" w:color="auto"/>
                            <w:right w:val="none" w:sz="0" w:space="0" w:color="auto"/>
                          </w:divBdr>
                          <w:divsChild>
                            <w:div w:id="2032561363">
                              <w:marLeft w:val="0"/>
                              <w:marRight w:val="0"/>
                              <w:marTop w:val="0"/>
                              <w:marBottom w:val="0"/>
                              <w:divBdr>
                                <w:top w:val="none" w:sz="0" w:space="0" w:color="auto"/>
                                <w:left w:val="none" w:sz="0" w:space="0" w:color="auto"/>
                                <w:bottom w:val="none" w:sz="0" w:space="0" w:color="auto"/>
                                <w:right w:val="none" w:sz="0" w:space="0" w:color="auto"/>
                              </w:divBdr>
                              <w:divsChild>
                                <w:div w:id="8608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383891">
      <w:bodyDiv w:val="1"/>
      <w:marLeft w:val="0"/>
      <w:marRight w:val="0"/>
      <w:marTop w:val="0"/>
      <w:marBottom w:val="0"/>
      <w:divBdr>
        <w:top w:val="none" w:sz="0" w:space="0" w:color="auto"/>
        <w:left w:val="none" w:sz="0" w:space="0" w:color="auto"/>
        <w:bottom w:val="none" w:sz="0" w:space="0" w:color="auto"/>
        <w:right w:val="none" w:sz="0" w:space="0" w:color="auto"/>
      </w:divBdr>
    </w:div>
    <w:div w:id="192572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undarycommission.org.uk/publications/guide-2023-re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undarycommission.org.uk/publications/data-protection-and-privacy-poli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boundarycommission.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boundarycommission.org.uk" TargetMode="External"/><Relationship Id="rId5" Type="http://schemas.openxmlformats.org/officeDocument/2006/relationships/webSettings" Target="webSettings.xml"/><Relationship Id="rId15" Type="http://schemas.openxmlformats.org/officeDocument/2006/relationships/hyperlink" Target="mailto:k.donnelly@morrowcommunications.com" TargetMode="External"/><Relationship Id="rId10" Type="http://schemas.openxmlformats.org/officeDocument/2006/relationships/hyperlink" Target="mailto:review@boundarycommission.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undarycommission.org.uk/2023-review/representations-received/stage/initial" TargetMode="External"/><Relationship Id="rId14" Type="http://schemas.openxmlformats.org/officeDocument/2006/relationships/hyperlink" Target="mailto:review@boundarycommiss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1995-7DED-4DB8-88BE-3440FDFA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2279</Words>
  <Characters>12991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Andrea</dc:creator>
  <cp:keywords/>
  <dc:description/>
  <cp:lastModifiedBy>Richardson, Andrea</cp:lastModifiedBy>
  <cp:revision>7</cp:revision>
  <dcterms:created xsi:type="dcterms:W3CDTF">2022-01-27T09:38:00Z</dcterms:created>
  <dcterms:modified xsi:type="dcterms:W3CDTF">2022-01-27T09:51:00Z</dcterms:modified>
</cp:coreProperties>
</file>