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47F391F" w14:textId="3C3447D0" w:rsidR="00121CD3" w:rsidRDefault="001E4C97" w:rsidP="002D365F">
      <w:pPr>
        <w:autoSpaceDE w:val="0"/>
        <w:autoSpaceDN w:val="0"/>
        <w:adjustRightInd w:val="0"/>
        <w:spacing w:line="276" w:lineRule="auto"/>
        <w:jc w:val="both"/>
        <w:rPr>
          <w:rFonts w:cs="Arial"/>
          <w:b/>
          <w:color w:val="000000"/>
        </w:rPr>
      </w:pPr>
      <w:r>
        <w:rPr>
          <w:noProof/>
        </w:rPr>
        <w:pict w14:anchorId="0485767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alt="Boundary Commission for Northern Ireland logo - blue map showing Northern Ireland with text that reads 'Boundary Commission for Northern Ireland'" style="position:absolute;left:0;text-align:left;margin-left:-51.6pt;margin-top:-29.1pt;width:555.9pt;height:88.65pt;z-index:251668480;mso-position-horizontal-relative:text;mso-position-vertical-relative:text" stroked="t" strokecolor="#deeaf6 [660]" strokeweight="7pt">
            <v:imagedata r:id="rId8" o:title="bc_logo_draft_09_05_16"/>
          </v:shape>
        </w:pict>
      </w:r>
      <w:r w:rsidR="006434BC">
        <w:rPr>
          <w:noProof/>
          <w:lang w:eastAsia="en-GB"/>
        </w:rPr>
        <mc:AlternateContent>
          <mc:Choice Requires="wps">
            <w:drawing>
              <wp:anchor distT="0" distB="0" distL="114300" distR="114300" simplePos="0" relativeHeight="251659264" behindDoc="0" locked="0" layoutInCell="1" allowOverlap="1" wp14:anchorId="4436A8F1" wp14:editId="0C612717">
                <wp:simplePos x="0" y="0"/>
                <wp:positionH relativeFrom="page">
                  <wp:align>right</wp:align>
                </wp:positionH>
                <wp:positionV relativeFrom="paragraph">
                  <wp:posOffset>-892810</wp:posOffset>
                </wp:positionV>
                <wp:extent cx="7524750" cy="10629900"/>
                <wp:effectExtent l="0" t="0" r="19050" b="19050"/>
                <wp:wrapNone/>
                <wp:docPr id="1" name="Rectangle 1"/>
                <wp:cNvGraphicFramePr/>
                <a:graphic xmlns:a="http://schemas.openxmlformats.org/drawingml/2006/main">
                  <a:graphicData uri="http://schemas.microsoft.com/office/word/2010/wordprocessingShape">
                    <wps:wsp>
                      <wps:cNvSpPr/>
                      <wps:spPr>
                        <a:xfrm>
                          <a:off x="0" y="0"/>
                          <a:ext cx="7524750" cy="10629900"/>
                        </a:xfrm>
                        <a:prstGeom prst="rect">
                          <a:avLst/>
                        </a:prstGeom>
                        <a:solidFill>
                          <a:schemeClr val="accent1">
                            <a:lumMod val="5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4E9E60" id="Rectangle 1" o:spid="_x0000_s1026" style="position:absolute;margin-left:541.3pt;margin-top:-70.3pt;width:592.5pt;height:837pt;z-index:251659264;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" fillcolor="#1f4d78 [1604]" strokecolor="#1f4d78 [1604]" strokeweight="1pt">
                <w10:wrap anchorx="page"/>
              </v:rect>
            </w:pict>
          </mc:Fallback>
        </mc:AlternateContent>
      </w:r>
    </w:p>
    <w:bookmarkStart w:id="0" w:name="_MON_1683375627"/>
    <w:bookmarkEnd w:id="0"/>
    <w:p w14:paraId="28D28324" w14:textId="07A0E9BF" w:rsidR="00AC6E7C" w:rsidRDefault="00EF0364">
      <w:pPr>
        <w:rPr>
          <w:rFonts w:eastAsia="Times New Roman" w:cs="Times New Roman"/>
          <w:b/>
          <w:bCs/>
          <w:color w:val="1F4E79" w:themeColor="accent1" w:themeShade="80"/>
          <w:kern w:val="32"/>
          <w:sz w:val="32"/>
          <w:szCs w:val="32"/>
          <w:lang w:eastAsia="en-GB"/>
        </w:rPr>
      </w:pPr>
      <w:r>
        <w:object w:dxaOrig="1520" w:dyaOrig="987" w14:anchorId="71EF5A48">
          <v:shape id="_x0000_i1025" type="#_x0000_t75" style="width:76pt;height:49.35pt" o:ole="">
            <v:imagedata r:id="rId9" o:title=""/>
          </v:shape>
          <o:OLEObject Type="Embed" ProgID="Word.Document.12" ShapeID="_x0000_i1025" DrawAspect="Icon" ObjectID="_1683625046" r:id="rId10">
            <o:FieldCodes>\s</o:FieldCodes>
          </o:OLEObject>
        </w:object>
      </w:r>
      <w:r w:rsidR="00B5207D">
        <w:rPr>
          <w:noProof/>
          <w:lang w:eastAsia="en-GB"/>
        </w:rPr>
        <mc:AlternateContent>
          <mc:Choice Requires="wps">
            <w:drawing>
              <wp:anchor distT="45720" distB="45720" distL="114300" distR="114300" simplePos="0" relativeHeight="251670528" behindDoc="0" locked="0" layoutInCell="1" allowOverlap="1" wp14:anchorId="4334080C" wp14:editId="74C37BE2">
                <wp:simplePos x="0" y="0"/>
                <wp:positionH relativeFrom="margin">
                  <wp:posOffset>-648970</wp:posOffset>
                </wp:positionH>
                <wp:positionV relativeFrom="paragraph">
                  <wp:posOffset>7814310</wp:posOffset>
                </wp:positionV>
                <wp:extent cx="7029450" cy="742950"/>
                <wp:effectExtent l="0" t="0" r="0" b="0"/>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742950"/>
                        </a:xfrm>
                        <a:prstGeom prst="rect">
                          <a:avLst/>
                        </a:prstGeom>
                        <a:noFill/>
                        <a:ln w="92075">
                          <a:noFill/>
                          <a:miter lim="800000"/>
                          <a:headEnd/>
                          <a:tailEnd/>
                        </a:ln>
                      </wps:spPr>
                      <wps:txbx>
                        <w:txbxContent>
                          <w:p w14:paraId="6EDFB569" w14:textId="06BB9CAD" w:rsidR="00042573" w:rsidRPr="00B5207D" w:rsidRDefault="00042573" w:rsidP="00FD0737">
                            <w:pPr>
                              <w:pStyle w:val="Title"/>
                              <w:rPr>
                                <w:rStyle w:val="BookTitle"/>
                                <w:sz w:val="56"/>
                              </w:rPr>
                            </w:pPr>
                            <w:r w:rsidRPr="00B5207D">
                              <w:rPr>
                                <w:rStyle w:val="BookTitle"/>
                                <w:sz w:val="56"/>
                              </w:rPr>
                              <w:t>May 2021</w:t>
                            </w:r>
                          </w:p>
                          <w:p w14:paraId="173F745C" w14:textId="77777777" w:rsidR="00042573" w:rsidRDefault="00042573" w:rsidP="00B5207D"/>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4080C" id="_x0000_t202" coordsize="21600,21600" o:spt="202" path="m,l,21600r21600,l21600,xe">
                <v:stroke joinstyle="miter"/>
                <v:path gradientshapeok="t" o:connecttype="rect"/>
              </v:shapetype>
              <v:shape id="Text Box 2" o:spid="_x0000_s1026" type="#_x0000_t202" style="position:absolute;margin-left:-51.1pt;margin-top:615.3pt;width:553.5pt;height:58.5pt;z-index:251670528;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" filled="f" stroked="f" strokeweight="7.25pt">
                <v:textbox>
                  <w:txbxContent>
                    <w:p w14:paraId="6EDFB569" w14:textId="06BB9CAD" w:rsidR="00042573" w:rsidRPr="00B5207D" w:rsidRDefault="00042573" w:rsidP="00FD0737">
                      <w:pPr>
                        <w:pStyle w:val="Title"/>
                        <w:rPr>
                          <w:rStyle w:val="BookTitle"/>
                          <w:sz w:val="56"/>
                        </w:rPr>
                      </w:pPr>
                      <w:r w:rsidRPr="00B5207D">
                        <w:rPr>
                          <w:rStyle w:val="BookTitle"/>
                          <w:sz w:val="56"/>
                        </w:rPr>
                        <w:t>May 2021</w:t>
                      </w:r>
                    </w:p>
                    <w:p w14:paraId="173F745C" w14:textId="77777777" w:rsidR="00042573" w:rsidRDefault="00042573" w:rsidP="00B5207D"/>
                  </w:txbxContent>
                </v:textbox>
                <w10:wrap type="square" anchorx="margin"/>
              </v:shape>
            </w:pict>
          </mc:Fallback>
        </mc:AlternateContent>
      </w:r>
      <w:r w:rsidR="00196A2F">
        <w:rPr>
          <w:noProof/>
          <w:lang w:eastAsia="en-GB"/>
        </w:rPr>
        <mc:AlternateContent>
          <mc:Choice Requires="wps">
            <w:drawing>
              <wp:anchor distT="45720" distB="45720" distL="114300" distR="114300" simplePos="0" relativeHeight="251666432" behindDoc="0" locked="0" layoutInCell="1" allowOverlap="1" wp14:anchorId="746C2248" wp14:editId="3A010DA0">
                <wp:simplePos x="0" y="0"/>
                <wp:positionH relativeFrom="margin">
                  <wp:posOffset>-685800</wp:posOffset>
                </wp:positionH>
                <wp:positionV relativeFrom="paragraph">
                  <wp:posOffset>1564005</wp:posOffset>
                </wp:positionV>
                <wp:extent cx="7029450" cy="4533900"/>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029450" cy="4533900"/>
                        </a:xfrm>
                        <a:prstGeom prst="rect">
                          <a:avLst/>
                        </a:prstGeom>
                        <a:noFill/>
                        <a:ln w="92075">
                          <a:noFill/>
                          <a:miter lim="800000"/>
                          <a:headEnd/>
                          <a:tailEnd/>
                        </a:ln>
                      </wps:spPr>
                      <wps:txbx>
                        <w:txbxContent>
                          <w:p w14:paraId="701EE63B" w14:textId="77777777" w:rsidR="00042573" w:rsidRPr="00FD0737" w:rsidRDefault="00042573" w:rsidP="00FD0737">
                            <w:pPr>
                              <w:pStyle w:val="Title"/>
                              <w:rPr>
                                <w:rStyle w:val="BookTitle"/>
                                <w:sz w:val="132"/>
                              </w:rPr>
                            </w:pPr>
                            <w:r w:rsidRPr="00FD0737">
                              <w:rPr>
                                <w:rStyle w:val="BookTitle"/>
                                <w:sz w:val="132"/>
                              </w:rPr>
                              <w:t>Guide</w:t>
                            </w:r>
                          </w:p>
                          <w:p w14:paraId="7C1B9B25" w14:textId="6C7357D9" w:rsidR="00042573" w:rsidRPr="00E91C90" w:rsidRDefault="00042573" w:rsidP="00FD0737">
                            <w:pPr>
                              <w:pStyle w:val="Title"/>
                              <w:rPr>
                                <w:rStyle w:val="BookTitle"/>
                                <w:sz w:val="132"/>
                              </w:rPr>
                            </w:pPr>
                            <w:r w:rsidRPr="00E91C90">
                              <w:rPr>
                                <w:rStyle w:val="BookTitle"/>
                                <w:sz w:val="132"/>
                              </w:rPr>
                              <w:t>to the 2023 Review of Parliamentary Constituencies</w:t>
                            </w:r>
                          </w:p>
                          <w:p w14:paraId="3551A8C8" w14:textId="6143AB9D" w:rsidR="00042573" w:rsidRDefault="0004257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46C2248" id="_x0000_s1027" type="#_x0000_t202" style="position:absolute;margin-left:-54pt;margin-top:123.15pt;width:553.5pt;height:357pt;z-index:25166643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" filled="f" stroked="f" strokeweight="7.25pt">
                <v:textbox>
                  <w:txbxContent>
                    <w:p w14:paraId="701EE63B" w14:textId="77777777" w:rsidR="00042573" w:rsidRPr="00FD0737" w:rsidRDefault="00042573" w:rsidP="00FD0737">
                      <w:pPr>
                        <w:pStyle w:val="Title"/>
                        <w:rPr>
                          <w:rStyle w:val="BookTitle"/>
                          <w:sz w:val="132"/>
                        </w:rPr>
                      </w:pPr>
                      <w:r w:rsidRPr="00FD0737">
                        <w:rPr>
                          <w:rStyle w:val="BookTitle"/>
                          <w:sz w:val="132"/>
                        </w:rPr>
                        <w:t>Guide</w:t>
                      </w:r>
                    </w:p>
                    <w:p w14:paraId="7C1B9B25" w14:textId="6C7357D9" w:rsidR="00042573" w:rsidRPr="00E91C90" w:rsidRDefault="00042573" w:rsidP="00FD0737">
                      <w:pPr>
                        <w:pStyle w:val="Title"/>
                        <w:rPr>
                          <w:rStyle w:val="BookTitle"/>
                          <w:sz w:val="132"/>
                        </w:rPr>
                      </w:pPr>
                      <w:r w:rsidRPr="00E91C90">
                        <w:rPr>
                          <w:rStyle w:val="BookTitle"/>
                          <w:sz w:val="132"/>
                        </w:rPr>
                        <w:t>to the 2023 Review of Parliamentary Constituencies</w:t>
                      </w:r>
                    </w:p>
                    <w:p w14:paraId="3551A8C8" w14:textId="6143AB9D" w:rsidR="00042573" w:rsidRDefault="00042573"/>
                  </w:txbxContent>
                </v:textbox>
                <w10:wrap type="square" anchorx="margin"/>
              </v:shape>
            </w:pict>
          </mc:Fallback>
        </mc:AlternateContent>
      </w:r>
      <w:r w:rsidR="00AC6E7C">
        <w:br w:type="page"/>
      </w:r>
    </w:p>
    <w:sdt>
      <w:sdtPr>
        <w:rPr>
          <w:rFonts w:ascii="Arial" w:eastAsiaTheme="minorHAnsi" w:hAnsi="Arial" w:cstheme="minorBidi"/>
          <w:color w:val="auto"/>
          <w:sz w:val="24"/>
          <w:szCs w:val="22"/>
          <w:lang w:val="en-GB"/>
        </w:rPr>
        <w:id w:val="964313523"/>
        <w:docPartObj>
          <w:docPartGallery w:val="Table of Contents"/>
          <w:docPartUnique/>
        </w:docPartObj>
      </w:sdtPr>
      <w:sdtEndPr>
        <w:rPr>
          <w:b/>
          <w:bCs/>
          <w:noProof/>
        </w:rPr>
      </w:sdtEndPr>
      <w:sdtContent>
        <w:p w14:paraId="18DED1B3" w14:textId="0BB0E7E7" w:rsidR="00AC6E7C" w:rsidRPr="00074FD8" w:rsidRDefault="00AC6E7C">
          <w:pPr>
            <w:pStyle w:val="TOCHeading"/>
            <w:rPr>
              <w:rStyle w:val="Heading1Char"/>
              <w:rFonts w:eastAsiaTheme="majorEastAsia"/>
            </w:rPr>
          </w:pPr>
          <w:r w:rsidRPr="00074FD8">
            <w:rPr>
              <w:rStyle w:val="Heading1Char"/>
              <w:rFonts w:eastAsiaTheme="majorEastAsia"/>
            </w:rPr>
            <w:t>Table of Contents</w:t>
          </w:r>
        </w:p>
        <w:p w14:paraId="7C1FEEA4" w14:textId="77777777" w:rsidR="00606699" w:rsidRDefault="00AC6E7C">
          <w:pPr>
            <w:pStyle w:val="TOC1"/>
            <w:tabs>
              <w:tab w:val="right" w:leader="dot" w:pos="9016"/>
            </w:tabs>
            <w:rPr>
              <w:rFonts w:asciiTheme="minorHAnsi" w:eastAsiaTheme="minorEastAsia" w:hAnsiTheme="minorHAnsi"/>
              <w:noProof/>
              <w:sz w:val="22"/>
              <w:lang w:eastAsia="en-GB"/>
            </w:rPr>
          </w:pPr>
          <w:r>
            <w:rPr>
              <w:b/>
              <w:bCs/>
              <w:noProof/>
            </w:rPr>
            <w:fldChar w:fldCharType="begin"/>
          </w:r>
          <w:r>
            <w:rPr>
              <w:b/>
              <w:bCs/>
              <w:noProof/>
            </w:rPr>
            <w:instrText xml:space="preserve"> TOC \o "1-2" \h \z \u </w:instrText>
          </w:r>
          <w:r>
            <w:rPr>
              <w:b/>
              <w:bCs/>
              <w:noProof/>
            </w:rPr>
            <w:fldChar w:fldCharType="separate"/>
          </w:r>
          <w:hyperlink w:anchor="_Toc72949419" w:history="1">
            <w:r w:rsidR="00606699" w:rsidRPr="00C45B8F">
              <w:rPr>
                <w:rStyle w:val="Hyperlink"/>
                <w:noProof/>
              </w:rPr>
              <w:t>Chapter 1: Who We Are and What We Do</w:t>
            </w:r>
            <w:r w:rsidR="00606699">
              <w:rPr>
                <w:noProof/>
                <w:webHidden/>
              </w:rPr>
              <w:tab/>
            </w:r>
            <w:r w:rsidR="00606699">
              <w:rPr>
                <w:noProof/>
                <w:webHidden/>
              </w:rPr>
              <w:fldChar w:fldCharType="begin"/>
            </w:r>
            <w:r w:rsidR="00606699">
              <w:rPr>
                <w:noProof/>
                <w:webHidden/>
              </w:rPr>
              <w:instrText xml:space="preserve"> PAGEREF _Toc72949419 \h </w:instrText>
            </w:r>
            <w:r w:rsidR="00606699">
              <w:rPr>
                <w:noProof/>
                <w:webHidden/>
              </w:rPr>
            </w:r>
            <w:r w:rsidR="00606699">
              <w:rPr>
                <w:noProof/>
                <w:webHidden/>
              </w:rPr>
              <w:fldChar w:fldCharType="separate"/>
            </w:r>
            <w:r w:rsidR="00B05725">
              <w:rPr>
                <w:noProof/>
                <w:webHidden/>
              </w:rPr>
              <w:t>3</w:t>
            </w:r>
            <w:r w:rsidR="00606699">
              <w:rPr>
                <w:noProof/>
                <w:webHidden/>
              </w:rPr>
              <w:fldChar w:fldCharType="end"/>
            </w:r>
          </w:hyperlink>
        </w:p>
        <w:p w14:paraId="7012FBB1" w14:textId="77777777" w:rsidR="00606699" w:rsidRDefault="001E4C97">
          <w:pPr>
            <w:pStyle w:val="TOC1"/>
            <w:tabs>
              <w:tab w:val="right" w:leader="dot" w:pos="9016"/>
            </w:tabs>
            <w:rPr>
              <w:rFonts w:asciiTheme="minorHAnsi" w:eastAsiaTheme="minorEastAsia" w:hAnsiTheme="minorHAnsi"/>
              <w:noProof/>
              <w:sz w:val="22"/>
              <w:lang w:eastAsia="en-GB"/>
            </w:rPr>
          </w:pPr>
          <w:hyperlink w:anchor="_Toc72949420" w:history="1">
            <w:r w:rsidR="00606699" w:rsidRPr="00C45B8F">
              <w:rPr>
                <w:rStyle w:val="Hyperlink"/>
                <w:noProof/>
              </w:rPr>
              <w:t>Chapter 2: Preparing for the 2023 Review</w:t>
            </w:r>
            <w:r w:rsidR="00606699">
              <w:rPr>
                <w:noProof/>
                <w:webHidden/>
              </w:rPr>
              <w:tab/>
            </w:r>
            <w:r w:rsidR="00606699">
              <w:rPr>
                <w:noProof/>
                <w:webHidden/>
              </w:rPr>
              <w:fldChar w:fldCharType="begin"/>
            </w:r>
            <w:r w:rsidR="00606699">
              <w:rPr>
                <w:noProof/>
                <w:webHidden/>
              </w:rPr>
              <w:instrText xml:space="preserve"> PAGEREF _Toc72949420 \h </w:instrText>
            </w:r>
            <w:r w:rsidR="00606699">
              <w:rPr>
                <w:noProof/>
                <w:webHidden/>
              </w:rPr>
            </w:r>
            <w:r w:rsidR="00606699">
              <w:rPr>
                <w:noProof/>
                <w:webHidden/>
              </w:rPr>
              <w:fldChar w:fldCharType="separate"/>
            </w:r>
            <w:r w:rsidR="00B05725">
              <w:rPr>
                <w:noProof/>
                <w:webHidden/>
              </w:rPr>
              <w:t>5</w:t>
            </w:r>
            <w:r w:rsidR="00606699">
              <w:rPr>
                <w:noProof/>
                <w:webHidden/>
              </w:rPr>
              <w:fldChar w:fldCharType="end"/>
            </w:r>
          </w:hyperlink>
        </w:p>
        <w:p w14:paraId="234EA7B8"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21" w:history="1">
            <w:r w:rsidR="00606699" w:rsidRPr="00C45B8F">
              <w:rPr>
                <w:rStyle w:val="Hyperlink"/>
                <w:noProof/>
              </w:rPr>
              <w:t>Electorate Data</w:t>
            </w:r>
            <w:r w:rsidR="00606699">
              <w:rPr>
                <w:noProof/>
                <w:webHidden/>
              </w:rPr>
              <w:tab/>
            </w:r>
            <w:r w:rsidR="00606699">
              <w:rPr>
                <w:noProof/>
                <w:webHidden/>
              </w:rPr>
              <w:fldChar w:fldCharType="begin"/>
            </w:r>
            <w:r w:rsidR="00606699">
              <w:rPr>
                <w:noProof/>
                <w:webHidden/>
              </w:rPr>
              <w:instrText xml:space="preserve"> PAGEREF _Toc72949421 \h </w:instrText>
            </w:r>
            <w:r w:rsidR="00606699">
              <w:rPr>
                <w:noProof/>
                <w:webHidden/>
              </w:rPr>
            </w:r>
            <w:r w:rsidR="00606699">
              <w:rPr>
                <w:noProof/>
                <w:webHidden/>
              </w:rPr>
              <w:fldChar w:fldCharType="separate"/>
            </w:r>
            <w:r w:rsidR="00B05725">
              <w:rPr>
                <w:noProof/>
                <w:webHidden/>
              </w:rPr>
              <w:t>5</w:t>
            </w:r>
            <w:r w:rsidR="00606699">
              <w:rPr>
                <w:noProof/>
                <w:webHidden/>
              </w:rPr>
              <w:fldChar w:fldCharType="end"/>
            </w:r>
          </w:hyperlink>
        </w:p>
        <w:p w14:paraId="1B84FF69"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22" w:history="1">
            <w:r w:rsidR="00606699" w:rsidRPr="00C45B8F">
              <w:rPr>
                <w:rStyle w:val="Hyperlink"/>
                <w:noProof/>
              </w:rPr>
              <w:t>Allocation of Constituencies</w:t>
            </w:r>
            <w:r w:rsidR="00606699">
              <w:rPr>
                <w:noProof/>
                <w:webHidden/>
              </w:rPr>
              <w:tab/>
            </w:r>
            <w:r w:rsidR="00606699">
              <w:rPr>
                <w:noProof/>
                <w:webHidden/>
              </w:rPr>
              <w:fldChar w:fldCharType="begin"/>
            </w:r>
            <w:r w:rsidR="00606699">
              <w:rPr>
                <w:noProof/>
                <w:webHidden/>
              </w:rPr>
              <w:instrText xml:space="preserve"> PAGEREF _Toc72949422 \h </w:instrText>
            </w:r>
            <w:r w:rsidR="00606699">
              <w:rPr>
                <w:noProof/>
                <w:webHidden/>
              </w:rPr>
            </w:r>
            <w:r w:rsidR="00606699">
              <w:rPr>
                <w:noProof/>
                <w:webHidden/>
              </w:rPr>
              <w:fldChar w:fldCharType="separate"/>
            </w:r>
            <w:r w:rsidR="00B05725">
              <w:rPr>
                <w:noProof/>
                <w:webHidden/>
              </w:rPr>
              <w:t>5</w:t>
            </w:r>
            <w:r w:rsidR="00606699">
              <w:rPr>
                <w:noProof/>
                <w:webHidden/>
              </w:rPr>
              <w:fldChar w:fldCharType="end"/>
            </w:r>
          </w:hyperlink>
        </w:p>
        <w:p w14:paraId="58471025"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23" w:history="1">
            <w:r w:rsidR="00606699" w:rsidRPr="00C45B8F">
              <w:rPr>
                <w:rStyle w:val="Hyperlink"/>
                <w:noProof/>
              </w:rPr>
              <w:t>Local Government Boundaries</w:t>
            </w:r>
            <w:r w:rsidR="00606699">
              <w:rPr>
                <w:noProof/>
                <w:webHidden/>
              </w:rPr>
              <w:tab/>
            </w:r>
            <w:r w:rsidR="00606699">
              <w:rPr>
                <w:noProof/>
                <w:webHidden/>
              </w:rPr>
              <w:fldChar w:fldCharType="begin"/>
            </w:r>
            <w:r w:rsidR="00606699">
              <w:rPr>
                <w:noProof/>
                <w:webHidden/>
              </w:rPr>
              <w:instrText xml:space="preserve"> PAGEREF _Toc72949423 \h </w:instrText>
            </w:r>
            <w:r w:rsidR="00606699">
              <w:rPr>
                <w:noProof/>
                <w:webHidden/>
              </w:rPr>
            </w:r>
            <w:r w:rsidR="00606699">
              <w:rPr>
                <w:noProof/>
                <w:webHidden/>
              </w:rPr>
              <w:fldChar w:fldCharType="separate"/>
            </w:r>
            <w:r w:rsidR="00B05725">
              <w:rPr>
                <w:noProof/>
                <w:webHidden/>
              </w:rPr>
              <w:t>5</w:t>
            </w:r>
            <w:r w:rsidR="00606699">
              <w:rPr>
                <w:noProof/>
                <w:webHidden/>
              </w:rPr>
              <w:fldChar w:fldCharType="end"/>
            </w:r>
          </w:hyperlink>
        </w:p>
        <w:p w14:paraId="394353B4" w14:textId="77777777" w:rsidR="00606699" w:rsidRDefault="001E4C97">
          <w:pPr>
            <w:pStyle w:val="TOC1"/>
            <w:tabs>
              <w:tab w:val="right" w:leader="dot" w:pos="9016"/>
            </w:tabs>
            <w:rPr>
              <w:rFonts w:asciiTheme="minorHAnsi" w:eastAsiaTheme="minorEastAsia" w:hAnsiTheme="minorHAnsi"/>
              <w:noProof/>
              <w:sz w:val="22"/>
              <w:lang w:eastAsia="en-GB"/>
            </w:rPr>
          </w:pPr>
          <w:hyperlink w:anchor="_Toc72949424" w:history="1">
            <w:r w:rsidR="00606699" w:rsidRPr="00C45B8F">
              <w:rPr>
                <w:rStyle w:val="Hyperlink"/>
                <w:noProof/>
              </w:rPr>
              <w:t>Chapter 3: Developing Proposals – Rules and Approach</w:t>
            </w:r>
            <w:r w:rsidR="00606699">
              <w:rPr>
                <w:noProof/>
                <w:webHidden/>
              </w:rPr>
              <w:tab/>
            </w:r>
            <w:r w:rsidR="00606699">
              <w:rPr>
                <w:noProof/>
                <w:webHidden/>
              </w:rPr>
              <w:fldChar w:fldCharType="begin"/>
            </w:r>
            <w:r w:rsidR="00606699">
              <w:rPr>
                <w:noProof/>
                <w:webHidden/>
              </w:rPr>
              <w:instrText xml:space="preserve"> PAGEREF _Toc72949424 \h </w:instrText>
            </w:r>
            <w:r w:rsidR="00606699">
              <w:rPr>
                <w:noProof/>
                <w:webHidden/>
              </w:rPr>
            </w:r>
            <w:r w:rsidR="00606699">
              <w:rPr>
                <w:noProof/>
                <w:webHidden/>
              </w:rPr>
              <w:fldChar w:fldCharType="separate"/>
            </w:r>
            <w:r w:rsidR="00B05725">
              <w:rPr>
                <w:noProof/>
                <w:webHidden/>
              </w:rPr>
              <w:t>6</w:t>
            </w:r>
            <w:r w:rsidR="00606699">
              <w:rPr>
                <w:noProof/>
                <w:webHidden/>
              </w:rPr>
              <w:fldChar w:fldCharType="end"/>
            </w:r>
          </w:hyperlink>
        </w:p>
        <w:p w14:paraId="66EEE852"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25" w:history="1">
            <w:r w:rsidR="00606699" w:rsidRPr="00C45B8F">
              <w:rPr>
                <w:rStyle w:val="Hyperlink"/>
                <w:noProof/>
              </w:rPr>
              <w:t>Statutory Electorate Range</w:t>
            </w:r>
            <w:r w:rsidR="00606699">
              <w:rPr>
                <w:noProof/>
                <w:webHidden/>
              </w:rPr>
              <w:tab/>
            </w:r>
            <w:r w:rsidR="00606699">
              <w:rPr>
                <w:noProof/>
                <w:webHidden/>
              </w:rPr>
              <w:fldChar w:fldCharType="begin"/>
            </w:r>
            <w:r w:rsidR="00606699">
              <w:rPr>
                <w:noProof/>
                <w:webHidden/>
              </w:rPr>
              <w:instrText xml:space="preserve"> PAGEREF _Toc72949425 \h </w:instrText>
            </w:r>
            <w:r w:rsidR="00606699">
              <w:rPr>
                <w:noProof/>
                <w:webHidden/>
              </w:rPr>
            </w:r>
            <w:r w:rsidR="00606699">
              <w:rPr>
                <w:noProof/>
                <w:webHidden/>
              </w:rPr>
              <w:fldChar w:fldCharType="separate"/>
            </w:r>
            <w:r w:rsidR="00B05725">
              <w:rPr>
                <w:noProof/>
                <w:webHidden/>
              </w:rPr>
              <w:t>6</w:t>
            </w:r>
            <w:r w:rsidR="00606699">
              <w:rPr>
                <w:noProof/>
                <w:webHidden/>
              </w:rPr>
              <w:fldChar w:fldCharType="end"/>
            </w:r>
          </w:hyperlink>
        </w:p>
        <w:p w14:paraId="76537A03"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26" w:history="1">
            <w:r w:rsidR="00606699" w:rsidRPr="00C45B8F">
              <w:rPr>
                <w:rStyle w:val="Hyperlink"/>
                <w:noProof/>
              </w:rPr>
              <w:t>Other Factors</w:t>
            </w:r>
            <w:r w:rsidR="00606699">
              <w:rPr>
                <w:noProof/>
                <w:webHidden/>
              </w:rPr>
              <w:tab/>
            </w:r>
            <w:r w:rsidR="00606699">
              <w:rPr>
                <w:noProof/>
                <w:webHidden/>
              </w:rPr>
              <w:fldChar w:fldCharType="begin"/>
            </w:r>
            <w:r w:rsidR="00606699">
              <w:rPr>
                <w:noProof/>
                <w:webHidden/>
              </w:rPr>
              <w:instrText xml:space="preserve"> PAGEREF _Toc72949426 \h </w:instrText>
            </w:r>
            <w:r w:rsidR="00606699">
              <w:rPr>
                <w:noProof/>
                <w:webHidden/>
              </w:rPr>
            </w:r>
            <w:r w:rsidR="00606699">
              <w:rPr>
                <w:noProof/>
                <w:webHidden/>
              </w:rPr>
              <w:fldChar w:fldCharType="separate"/>
            </w:r>
            <w:r w:rsidR="00B05725">
              <w:rPr>
                <w:noProof/>
                <w:webHidden/>
              </w:rPr>
              <w:t>6</w:t>
            </w:r>
            <w:r w:rsidR="00606699">
              <w:rPr>
                <w:noProof/>
                <w:webHidden/>
              </w:rPr>
              <w:fldChar w:fldCharType="end"/>
            </w:r>
          </w:hyperlink>
        </w:p>
        <w:p w14:paraId="7B7CB854"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27" w:history="1">
            <w:r w:rsidR="00606699" w:rsidRPr="00C45B8F">
              <w:rPr>
                <w:rStyle w:val="Hyperlink"/>
                <w:noProof/>
              </w:rPr>
              <w:t>Approach</w:t>
            </w:r>
            <w:r w:rsidR="00606699">
              <w:rPr>
                <w:noProof/>
                <w:webHidden/>
              </w:rPr>
              <w:tab/>
            </w:r>
            <w:r w:rsidR="00606699">
              <w:rPr>
                <w:noProof/>
                <w:webHidden/>
              </w:rPr>
              <w:fldChar w:fldCharType="begin"/>
            </w:r>
            <w:r w:rsidR="00606699">
              <w:rPr>
                <w:noProof/>
                <w:webHidden/>
              </w:rPr>
              <w:instrText xml:space="preserve"> PAGEREF _Toc72949427 \h </w:instrText>
            </w:r>
            <w:r w:rsidR="00606699">
              <w:rPr>
                <w:noProof/>
                <w:webHidden/>
              </w:rPr>
            </w:r>
            <w:r w:rsidR="00606699">
              <w:rPr>
                <w:noProof/>
                <w:webHidden/>
              </w:rPr>
              <w:fldChar w:fldCharType="separate"/>
            </w:r>
            <w:r w:rsidR="00B05725">
              <w:rPr>
                <w:noProof/>
                <w:webHidden/>
              </w:rPr>
              <w:t>7</w:t>
            </w:r>
            <w:r w:rsidR="00606699">
              <w:rPr>
                <w:noProof/>
                <w:webHidden/>
              </w:rPr>
              <w:fldChar w:fldCharType="end"/>
            </w:r>
          </w:hyperlink>
        </w:p>
        <w:p w14:paraId="7AB85670"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28" w:history="1">
            <w:r w:rsidR="00606699" w:rsidRPr="00C45B8F">
              <w:rPr>
                <w:rStyle w:val="Hyperlink"/>
                <w:noProof/>
              </w:rPr>
              <w:t>Factors the Commission will not consider</w:t>
            </w:r>
            <w:r w:rsidR="00606699">
              <w:rPr>
                <w:noProof/>
                <w:webHidden/>
              </w:rPr>
              <w:tab/>
            </w:r>
            <w:r w:rsidR="00606699">
              <w:rPr>
                <w:noProof/>
                <w:webHidden/>
              </w:rPr>
              <w:fldChar w:fldCharType="begin"/>
            </w:r>
            <w:r w:rsidR="00606699">
              <w:rPr>
                <w:noProof/>
                <w:webHidden/>
              </w:rPr>
              <w:instrText xml:space="preserve"> PAGEREF _Toc72949428 \h </w:instrText>
            </w:r>
            <w:r w:rsidR="00606699">
              <w:rPr>
                <w:noProof/>
                <w:webHidden/>
              </w:rPr>
            </w:r>
            <w:r w:rsidR="00606699">
              <w:rPr>
                <w:noProof/>
                <w:webHidden/>
              </w:rPr>
              <w:fldChar w:fldCharType="separate"/>
            </w:r>
            <w:r w:rsidR="00B05725">
              <w:rPr>
                <w:noProof/>
                <w:webHidden/>
              </w:rPr>
              <w:t>8</w:t>
            </w:r>
            <w:r w:rsidR="00606699">
              <w:rPr>
                <w:noProof/>
                <w:webHidden/>
              </w:rPr>
              <w:fldChar w:fldCharType="end"/>
            </w:r>
          </w:hyperlink>
        </w:p>
        <w:p w14:paraId="0CD9047F"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29" w:history="1">
            <w:r w:rsidR="00606699" w:rsidRPr="00C45B8F">
              <w:rPr>
                <w:rStyle w:val="Hyperlink"/>
                <w:noProof/>
              </w:rPr>
              <w:t>Naming and designation of constituencies</w:t>
            </w:r>
            <w:r w:rsidR="00606699">
              <w:rPr>
                <w:noProof/>
                <w:webHidden/>
              </w:rPr>
              <w:tab/>
            </w:r>
            <w:r w:rsidR="00606699">
              <w:rPr>
                <w:noProof/>
                <w:webHidden/>
              </w:rPr>
              <w:fldChar w:fldCharType="begin"/>
            </w:r>
            <w:r w:rsidR="00606699">
              <w:rPr>
                <w:noProof/>
                <w:webHidden/>
              </w:rPr>
              <w:instrText xml:space="preserve"> PAGEREF _Toc72949429 \h </w:instrText>
            </w:r>
            <w:r w:rsidR="00606699">
              <w:rPr>
                <w:noProof/>
                <w:webHidden/>
              </w:rPr>
            </w:r>
            <w:r w:rsidR="00606699">
              <w:rPr>
                <w:noProof/>
                <w:webHidden/>
              </w:rPr>
              <w:fldChar w:fldCharType="separate"/>
            </w:r>
            <w:r w:rsidR="00B05725">
              <w:rPr>
                <w:noProof/>
                <w:webHidden/>
              </w:rPr>
              <w:t>8</w:t>
            </w:r>
            <w:r w:rsidR="00606699">
              <w:rPr>
                <w:noProof/>
                <w:webHidden/>
              </w:rPr>
              <w:fldChar w:fldCharType="end"/>
            </w:r>
          </w:hyperlink>
        </w:p>
        <w:p w14:paraId="7C8E2EB6" w14:textId="77777777" w:rsidR="00606699" w:rsidRDefault="001E4C97">
          <w:pPr>
            <w:pStyle w:val="TOC1"/>
            <w:tabs>
              <w:tab w:val="right" w:leader="dot" w:pos="9016"/>
            </w:tabs>
            <w:rPr>
              <w:rFonts w:asciiTheme="minorHAnsi" w:eastAsiaTheme="minorEastAsia" w:hAnsiTheme="minorHAnsi"/>
              <w:noProof/>
              <w:sz w:val="22"/>
              <w:lang w:eastAsia="en-GB"/>
            </w:rPr>
          </w:pPr>
          <w:hyperlink w:anchor="_Toc72949430" w:history="1">
            <w:r w:rsidR="00606699" w:rsidRPr="00C45B8F">
              <w:rPr>
                <w:rStyle w:val="Hyperlink"/>
                <w:noProof/>
              </w:rPr>
              <w:t>Chapter 4: The Review Process</w:t>
            </w:r>
            <w:r w:rsidR="00606699">
              <w:rPr>
                <w:noProof/>
                <w:webHidden/>
              </w:rPr>
              <w:tab/>
            </w:r>
            <w:r w:rsidR="00606699">
              <w:rPr>
                <w:noProof/>
                <w:webHidden/>
              </w:rPr>
              <w:fldChar w:fldCharType="begin"/>
            </w:r>
            <w:r w:rsidR="00606699">
              <w:rPr>
                <w:noProof/>
                <w:webHidden/>
              </w:rPr>
              <w:instrText xml:space="preserve"> PAGEREF _Toc72949430 \h </w:instrText>
            </w:r>
            <w:r w:rsidR="00606699">
              <w:rPr>
                <w:noProof/>
                <w:webHidden/>
              </w:rPr>
            </w:r>
            <w:r w:rsidR="00606699">
              <w:rPr>
                <w:noProof/>
                <w:webHidden/>
              </w:rPr>
              <w:fldChar w:fldCharType="separate"/>
            </w:r>
            <w:r w:rsidR="00B05725">
              <w:rPr>
                <w:noProof/>
                <w:webHidden/>
              </w:rPr>
              <w:t>9</w:t>
            </w:r>
            <w:r w:rsidR="00606699">
              <w:rPr>
                <w:noProof/>
                <w:webHidden/>
              </w:rPr>
              <w:fldChar w:fldCharType="end"/>
            </w:r>
          </w:hyperlink>
        </w:p>
        <w:p w14:paraId="75A2ED42"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31" w:history="1">
            <w:r w:rsidR="00606699" w:rsidRPr="00C45B8F">
              <w:rPr>
                <w:rStyle w:val="Hyperlink"/>
                <w:noProof/>
              </w:rPr>
              <w:t>Overview of the Process</w:t>
            </w:r>
            <w:r w:rsidR="00606699">
              <w:rPr>
                <w:noProof/>
                <w:webHidden/>
              </w:rPr>
              <w:tab/>
            </w:r>
            <w:r w:rsidR="00606699">
              <w:rPr>
                <w:noProof/>
                <w:webHidden/>
              </w:rPr>
              <w:fldChar w:fldCharType="begin"/>
            </w:r>
            <w:r w:rsidR="00606699">
              <w:rPr>
                <w:noProof/>
                <w:webHidden/>
              </w:rPr>
              <w:instrText xml:space="preserve"> PAGEREF _Toc72949431 \h </w:instrText>
            </w:r>
            <w:r w:rsidR="00606699">
              <w:rPr>
                <w:noProof/>
                <w:webHidden/>
              </w:rPr>
            </w:r>
            <w:r w:rsidR="00606699">
              <w:rPr>
                <w:noProof/>
                <w:webHidden/>
              </w:rPr>
              <w:fldChar w:fldCharType="separate"/>
            </w:r>
            <w:r w:rsidR="00B05725">
              <w:rPr>
                <w:noProof/>
                <w:webHidden/>
              </w:rPr>
              <w:t>9</w:t>
            </w:r>
            <w:r w:rsidR="00606699">
              <w:rPr>
                <w:noProof/>
                <w:webHidden/>
              </w:rPr>
              <w:fldChar w:fldCharType="end"/>
            </w:r>
          </w:hyperlink>
        </w:p>
        <w:p w14:paraId="0674E19C"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32" w:history="1">
            <w:r w:rsidR="00606699" w:rsidRPr="00C45B8F">
              <w:rPr>
                <w:rStyle w:val="Hyperlink"/>
                <w:rFonts w:eastAsia="Times New Roman"/>
                <w:noProof/>
                <w:lang w:eastAsia="en-GB"/>
              </w:rPr>
              <w:t>Preparation of Initial Proposals</w:t>
            </w:r>
            <w:r w:rsidR="00606699">
              <w:rPr>
                <w:noProof/>
                <w:webHidden/>
              </w:rPr>
              <w:tab/>
            </w:r>
            <w:r w:rsidR="00606699">
              <w:rPr>
                <w:noProof/>
                <w:webHidden/>
              </w:rPr>
              <w:fldChar w:fldCharType="begin"/>
            </w:r>
            <w:r w:rsidR="00606699">
              <w:rPr>
                <w:noProof/>
                <w:webHidden/>
              </w:rPr>
              <w:instrText xml:space="preserve"> PAGEREF _Toc72949432 \h </w:instrText>
            </w:r>
            <w:r w:rsidR="00606699">
              <w:rPr>
                <w:noProof/>
                <w:webHidden/>
              </w:rPr>
            </w:r>
            <w:r w:rsidR="00606699">
              <w:rPr>
                <w:noProof/>
                <w:webHidden/>
              </w:rPr>
              <w:fldChar w:fldCharType="separate"/>
            </w:r>
            <w:r w:rsidR="00B05725">
              <w:rPr>
                <w:noProof/>
                <w:webHidden/>
              </w:rPr>
              <w:t>9</w:t>
            </w:r>
            <w:r w:rsidR="00606699">
              <w:rPr>
                <w:noProof/>
                <w:webHidden/>
              </w:rPr>
              <w:fldChar w:fldCharType="end"/>
            </w:r>
          </w:hyperlink>
        </w:p>
        <w:p w14:paraId="4CFFCF0D"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33" w:history="1">
            <w:r w:rsidR="00606699" w:rsidRPr="00C45B8F">
              <w:rPr>
                <w:rStyle w:val="Hyperlink"/>
                <w:noProof/>
              </w:rPr>
              <w:t>Publication of Initial Proposals</w:t>
            </w:r>
            <w:r w:rsidR="00606699">
              <w:rPr>
                <w:noProof/>
                <w:webHidden/>
              </w:rPr>
              <w:tab/>
            </w:r>
            <w:r w:rsidR="00606699">
              <w:rPr>
                <w:noProof/>
                <w:webHidden/>
              </w:rPr>
              <w:fldChar w:fldCharType="begin"/>
            </w:r>
            <w:r w:rsidR="00606699">
              <w:rPr>
                <w:noProof/>
                <w:webHidden/>
              </w:rPr>
              <w:instrText xml:space="preserve"> PAGEREF _Toc72949433 \h </w:instrText>
            </w:r>
            <w:r w:rsidR="00606699">
              <w:rPr>
                <w:noProof/>
                <w:webHidden/>
              </w:rPr>
            </w:r>
            <w:r w:rsidR="00606699">
              <w:rPr>
                <w:noProof/>
                <w:webHidden/>
              </w:rPr>
              <w:fldChar w:fldCharType="separate"/>
            </w:r>
            <w:r w:rsidR="00B05725">
              <w:rPr>
                <w:noProof/>
                <w:webHidden/>
              </w:rPr>
              <w:t>9</w:t>
            </w:r>
            <w:r w:rsidR="00606699">
              <w:rPr>
                <w:noProof/>
                <w:webHidden/>
              </w:rPr>
              <w:fldChar w:fldCharType="end"/>
            </w:r>
          </w:hyperlink>
        </w:p>
        <w:p w14:paraId="0CB6F41A"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34" w:history="1">
            <w:r w:rsidR="00606699" w:rsidRPr="00C45B8F">
              <w:rPr>
                <w:rStyle w:val="Hyperlink"/>
                <w:noProof/>
              </w:rPr>
              <w:t>Initial Consultation Period</w:t>
            </w:r>
            <w:r w:rsidR="00606699">
              <w:rPr>
                <w:noProof/>
                <w:webHidden/>
              </w:rPr>
              <w:tab/>
            </w:r>
            <w:r w:rsidR="00606699">
              <w:rPr>
                <w:noProof/>
                <w:webHidden/>
              </w:rPr>
              <w:fldChar w:fldCharType="begin"/>
            </w:r>
            <w:r w:rsidR="00606699">
              <w:rPr>
                <w:noProof/>
                <w:webHidden/>
              </w:rPr>
              <w:instrText xml:space="preserve"> PAGEREF _Toc72949434 \h </w:instrText>
            </w:r>
            <w:r w:rsidR="00606699">
              <w:rPr>
                <w:noProof/>
                <w:webHidden/>
              </w:rPr>
            </w:r>
            <w:r w:rsidR="00606699">
              <w:rPr>
                <w:noProof/>
                <w:webHidden/>
              </w:rPr>
              <w:fldChar w:fldCharType="separate"/>
            </w:r>
            <w:r w:rsidR="00B05725">
              <w:rPr>
                <w:noProof/>
                <w:webHidden/>
              </w:rPr>
              <w:t>10</w:t>
            </w:r>
            <w:r w:rsidR="00606699">
              <w:rPr>
                <w:noProof/>
                <w:webHidden/>
              </w:rPr>
              <w:fldChar w:fldCharType="end"/>
            </w:r>
          </w:hyperlink>
        </w:p>
        <w:p w14:paraId="61BF3CC5"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35" w:history="1">
            <w:r w:rsidR="00606699" w:rsidRPr="00C45B8F">
              <w:rPr>
                <w:rStyle w:val="Hyperlink"/>
                <w:noProof/>
              </w:rPr>
              <w:t>Secondary Consultation Period</w:t>
            </w:r>
            <w:r w:rsidR="00606699">
              <w:rPr>
                <w:noProof/>
                <w:webHidden/>
              </w:rPr>
              <w:tab/>
            </w:r>
            <w:r w:rsidR="00606699">
              <w:rPr>
                <w:noProof/>
                <w:webHidden/>
              </w:rPr>
              <w:fldChar w:fldCharType="begin"/>
            </w:r>
            <w:r w:rsidR="00606699">
              <w:rPr>
                <w:noProof/>
                <w:webHidden/>
              </w:rPr>
              <w:instrText xml:space="preserve"> PAGEREF _Toc72949435 \h </w:instrText>
            </w:r>
            <w:r w:rsidR="00606699">
              <w:rPr>
                <w:noProof/>
                <w:webHidden/>
              </w:rPr>
            </w:r>
            <w:r w:rsidR="00606699">
              <w:rPr>
                <w:noProof/>
                <w:webHidden/>
              </w:rPr>
              <w:fldChar w:fldCharType="separate"/>
            </w:r>
            <w:r w:rsidR="00B05725">
              <w:rPr>
                <w:noProof/>
                <w:webHidden/>
              </w:rPr>
              <w:t>10</w:t>
            </w:r>
            <w:r w:rsidR="00606699">
              <w:rPr>
                <w:noProof/>
                <w:webHidden/>
              </w:rPr>
              <w:fldChar w:fldCharType="end"/>
            </w:r>
          </w:hyperlink>
        </w:p>
        <w:p w14:paraId="008B3BAB"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36" w:history="1">
            <w:r w:rsidR="00606699" w:rsidRPr="00C45B8F">
              <w:rPr>
                <w:rStyle w:val="Hyperlink"/>
                <w:noProof/>
              </w:rPr>
              <w:t>Public Hearings</w:t>
            </w:r>
            <w:r w:rsidR="00606699">
              <w:rPr>
                <w:noProof/>
                <w:webHidden/>
              </w:rPr>
              <w:tab/>
            </w:r>
            <w:r w:rsidR="00606699">
              <w:rPr>
                <w:noProof/>
                <w:webHidden/>
              </w:rPr>
              <w:fldChar w:fldCharType="begin"/>
            </w:r>
            <w:r w:rsidR="00606699">
              <w:rPr>
                <w:noProof/>
                <w:webHidden/>
              </w:rPr>
              <w:instrText xml:space="preserve"> PAGEREF _Toc72949436 \h </w:instrText>
            </w:r>
            <w:r w:rsidR="00606699">
              <w:rPr>
                <w:noProof/>
                <w:webHidden/>
              </w:rPr>
            </w:r>
            <w:r w:rsidR="00606699">
              <w:rPr>
                <w:noProof/>
                <w:webHidden/>
              </w:rPr>
              <w:fldChar w:fldCharType="separate"/>
            </w:r>
            <w:r w:rsidR="00B05725">
              <w:rPr>
                <w:noProof/>
                <w:webHidden/>
              </w:rPr>
              <w:t>10</w:t>
            </w:r>
            <w:r w:rsidR="00606699">
              <w:rPr>
                <w:noProof/>
                <w:webHidden/>
              </w:rPr>
              <w:fldChar w:fldCharType="end"/>
            </w:r>
          </w:hyperlink>
        </w:p>
        <w:p w14:paraId="787CCA63"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37" w:history="1">
            <w:r w:rsidR="00606699" w:rsidRPr="00C45B8F">
              <w:rPr>
                <w:rStyle w:val="Hyperlink"/>
                <w:noProof/>
              </w:rPr>
              <w:t>Third Consultation Period and Revised Proposals</w:t>
            </w:r>
            <w:r w:rsidR="00606699">
              <w:rPr>
                <w:noProof/>
                <w:webHidden/>
              </w:rPr>
              <w:tab/>
            </w:r>
            <w:r w:rsidR="00606699">
              <w:rPr>
                <w:noProof/>
                <w:webHidden/>
              </w:rPr>
              <w:fldChar w:fldCharType="begin"/>
            </w:r>
            <w:r w:rsidR="00606699">
              <w:rPr>
                <w:noProof/>
                <w:webHidden/>
              </w:rPr>
              <w:instrText xml:space="preserve"> PAGEREF _Toc72949437 \h </w:instrText>
            </w:r>
            <w:r w:rsidR="00606699">
              <w:rPr>
                <w:noProof/>
                <w:webHidden/>
              </w:rPr>
            </w:r>
            <w:r w:rsidR="00606699">
              <w:rPr>
                <w:noProof/>
                <w:webHidden/>
              </w:rPr>
              <w:fldChar w:fldCharType="separate"/>
            </w:r>
            <w:r w:rsidR="00B05725">
              <w:rPr>
                <w:noProof/>
                <w:webHidden/>
              </w:rPr>
              <w:t>11</w:t>
            </w:r>
            <w:r w:rsidR="00606699">
              <w:rPr>
                <w:noProof/>
                <w:webHidden/>
              </w:rPr>
              <w:fldChar w:fldCharType="end"/>
            </w:r>
          </w:hyperlink>
        </w:p>
        <w:p w14:paraId="666D2BCE"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38" w:history="1">
            <w:r w:rsidR="00606699" w:rsidRPr="00C45B8F">
              <w:rPr>
                <w:rStyle w:val="Hyperlink"/>
                <w:noProof/>
              </w:rPr>
              <w:t>Final Recommendations and Report</w:t>
            </w:r>
            <w:r w:rsidR="00606699">
              <w:rPr>
                <w:noProof/>
                <w:webHidden/>
              </w:rPr>
              <w:tab/>
            </w:r>
            <w:r w:rsidR="00606699">
              <w:rPr>
                <w:noProof/>
                <w:webHidden/>
              </w:rPr>
              <w:fldChar w:fldCharType="begin"/>
            </w:r>
            <w:r w:rsidR="00606699">
              <w:rPr>
                <w:noProof/>
                <w:webHidden/>
              </w:rPr>
              <w:instrText xml:space="preserve"> PAGEREF _Toc72949438 \h </w:instrText>
            </w:r>
            <w:r w:rsidR="00606699">
              <w:rPr>
                <w:noProof/>
                <w:webHidden/>
              </w:rPr>
            </w:r>
            <w:r w:rsidR="00606699">
              <w:rPr>
                <w:noProof/>
                <w:webHidden/>
              </w:rPr>
              <w:fldChar w:fldCharType="separate"/>
            </w:r>
            <w:r w:rsidR="00B05725">
              <w:rPr>
                <w:noProof/>
                <w:webHidden/>
              </w:rPr>
              <w:t>12</w:t>
            </w:r>
            <w:r w:rsidR="00606699">
              <w:rPr>
                <w:noProof/>
                <w:webHidden/>
              </w:rPr>
              <w:fldChar w:fldCharType="end"/>
            </w:r>
          </w:hyperlink>
        </w:p>
        <w:p w14:paraId="05365C2D"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39" w:history="1">
            <w:r w:rsidR="00606699" w:rsidRPr="00C45B8F">
              <w:rPr>
                <w:rStyle w:val="Hyperlink"/>
                <w:noProof/>
              </w:rPr>
              <w:t>After the Final Report</w:t>
            </w:r>
            <w:r w:rsidR="00606699">
              <w:rPr>
                <w:noProof/>
                <w:webHidden/>
              </w:rPr>
              <w:tab/>
            </w:r>
            <w:r w:rsidR="00606699">
              <w:rPr>
                <w:noProof/>
                <w:webHidden/>
              </w:rPr>
              <w:fldChar w:fldCharType="begin"/>
            </w:r>
            <w:r w:rsidR="00606699">
              <w:rPr>
                <w:noProof/>
                <w:webHidden/>
              </w:rPr>
              <w:instrText xml:space="preserve"> PAGEREF _Toc72949439 \h </w:instrText>
            </w:r>
            <w:r w:rsidR="00606699">
              <w:rPr>
                <w:noProof/>
                <w:webHidden/>
              </w:rPr>
            </w:r>
            <w:r w:rsidR="00606699">
              <w:rPr>
                <w:noProof/>
                <w:webHidden/>
              </w:rPr>
              <w:fldChar w:fldCharType="separate"/>
            </w:r>
            <w:r w:rsidR="00B05725">
              <w:rPr>
                <w:noProof/>
                <w:webHidden/>
              </w:rPr>
              <w:t>12</w:t>
            </w:r>
            <w:r w:rsidR="00606699">
              <w:rPr>
                <w:noProof/>
                <w:webHidden/>
              </w:rPr>
              <w:fldChar w:fldCharType="end"/>
            </w:r>
          </w:hyperlink>
        </w:p>
        <w:p w14:paraId="117AD1C3" w14:textId="77777777" w:rsidR="00606699" w:rsidRDefault="001E4C97">
          <w:pPr>
            <w:pStyle w:val="TOC2"/>
            <w:tabs>
              <w:tab w:val="right" w:leader="dot" w:pos="9016"/>
            </w:tabs>
            <w:rPr>
              <w:rFonts w:asciiTheme="minorHAnsi" w:eastAsiaTheme="minorEastAsia" w:hAnsiTheme="minorHAnsi"/>
              <w:noProof/>
              <w:sz w:val="22"/>
              <w:lang w:eastAsia="en-GB"/>
            </w:rPr>
          </w:pPr>
          <w:hyperlink w:anchor="_Toc72949440" w:history="1">
            <w:r w:rsidR="00606699" w:rsidRPr="00C45B8F">
              <w:rPr>
                <w:rStyle w:val="Hyperlink"/>
                <w:noProof/>
              </w:rPr>
              <w:t>Future Reviews</w:t>
            </w:r>
            <w:r w:rsidR="00606699">
              <w:rPr>
                <w:noProof/>
                <w:webHidden/>
              </w:rPr>
              <w:tab/>
            </w:r>
            <w:r w:rsidR="00606699">
              <w:rPr>
                <w:noProof/>
                <w:webHidden/>
              </w:rPr>
              <w:fldChar w:fldCharType="begin"/>
            </w:r>
            <w:r w:rsidR="00606699">
              <w:rPr>
                <w:noProof/>
                <w:webHidden/>
              </w:rPr>
              <w:instrText xml:space="preserve"> PAGEREF _Toc72949440 \h </w:instrText>
            </w:r>
            <w:r w:rsidR="00606699">
              <w:rPr>
                <w:noProof/>
                <w:webHidden/>
              </w:rPr>
            </w:r>
            <w:r w:rsidR="00606699">
              <w:rPr>
                <w:noProof/>
                <w:webHidden/>
              </w:rPr>
              <w:fldChar w:fldCharType="separate"/>
            </w:r>
            <w:r w:rsidR="00B05725">
              <w:rPr>
                <w:noProof/>
                <w:webHidden/>
              </w:rPr>
              <w:t>12</w:t>
            </w:r>
            <w:r w:rsidR="00606699">
              <w:rPr>
                <w:noProof/>
                <w:webHidden/>
              </w:rPr>
              <w:fldChar w:fldCharType="end"/>
            </w:r>
          </w:hyperlink>
        </w:p>
        <w:p w14:paraId="2FCDEE26" w14:textId="77777777" w:rsidR="00606699" w:rsidRDefault="001E4C97">
          <w:pPr>
            <w:pStyle w:val="TOC1"/>
            <w:tabs>
              <w:tab w:val="right" w:leader="dot" w:pos="9016"/>
            </w:tabs>
            <w:rPr>
              <w:rFonts w:asciiTheme="minorHAnsi" w:eastAsiaTheme="minorEastAsia" w:hAnsiTheme="minorHAnsi"/>
              <w:noProof/>
              <w:sz w:val="22"/>
              <w:lang w:eastAsia="en-GB"/>
            </w:rPr>
          </w:pPr>
          <w:hyperlink w:anchor="_Toc72949441" w:history="1">
            <w:r w:rsidR="00606699" w:rsidRPr="00C45B8F">
              <w:rPr>
                <w:rStyle w:val="Hyperlink"/>
                <w:noProof/>
              </w:rPr>
              <w:t>Appendix A: The Constitution of the Boundary Commission of Northern Ireland</w:t>
            </w:r>
            <w:r w:rsidR="00606699">
              <w:rPr>
                <w:noProof/>
                <w:webHidden/>
              </w:rPr>
              <w:tab/>
            </w:r>
            <w:r w:rsidR="00606699">
              <w:rPr>
                <w:noProof/>
                <w:webHidden/>
              </w:rPr>
              <w:fldChar w:fldCharType="begin"/>
            </w:r>
            <w:r w:rsidR="00606699">
              <w:rPr>
                <w:noProof/>
                <w:webHidden/>
              </w:rPr>
              <w:instrText xml:space="preserve"> PAGEREF _Toc72949441 \h </w:instrText>
            </w:r>
            <w:r w:rsidR="00606699">
              <w:rPr>
                <w:noProof/>
                <w:webHidden/>
              </w:rPr>
            </w:r>
            <w:r w:rsidR="00606699">
              <w:rPr>
                <w:noProof/>
                <w:webHidden/>
              </w:rPr>
              <w:fldChar w:fldCharType="separate"/>
            </w:r>
            <w:r w:rsidR="00B05725">
              <w:rPr>
                <w:noProof/>
                <w:webHidden/>
              </w:rPr>
              <w:t>13</w:t>
            </w:r>
            <w:r w:rsidR="00606699">
              <w:rPr>
                <w:noProof/>
                <w:webHidden/>
              </w:rPr>
              <w:fldChar w:fldCharType="end"/>
            </w:r>
          </w:hyperlink>
        </w:p>
        <w:p w14:paraId="50CAF813" w14:textId="597C792E" w:rsidR="00606699" w:rsidRDefault="001E4C97" w:rsidP="00606699">
          <w:pPr>
            <w:pStyle w:val="TOC1"/>
            <w:tabs>
              <w:tab w:val="right" w:leader="dot" w:pos="9016"/>
            </w:tabs>
            <w:rPr>
              <w:rFonts w:asciiTheme="minorHAnsi" w:eastAsiaTheme="minorEastAsia" w:hAnsiTheme="minorHAnsi"/>
              <w:noProof/>
              <w:sz w:val="22"/>
              <w:lang w:eastAsia="en-GB"/>
            </w:rPr>
          </w:pPr>
          <w:hyperlink w:anchor="_Toc72949442" w:history="1">
            <w:r w:rsidR="00606699" w:rsidRPr="00C45B8F">
              <w:rPr>
                <w:rStyle w:val="Hyperlink"/>
                <w:noProof/>
              </w:rPr>
              <w:t>Appendix B: Schedule 2 to the Parliamentary Constituencies Act (as amended)</w:t>
            </w:r>
            <w:r w:rsidR="00606699">
              <w:rPr>
                <w:noProof/>
                <w:webHidden/>
              </w:rPr>
              <w:tab/>
            </w:r>
            <w:r w:rsidR="00606699">
              <w:rPr>
                <w:noProof/>
                <w:webHidden/>
              </w:rPr>
              <w:fldChar w:fldCharType="begin"/>
            </w:r>
            <w:r w:rsidR="00606699">
              <w:rPr>
                <w:noProof/>
                <w:webHidden/>
              </w:rPr>
              <w:instrText xml:space="preserve"> PAGEREF _Toc72949442 \h </w:instrText>
            </w:r>
            <w:r w:rsidR="00606699">
              <w:rPr>
                <w:noProof/>
                <w:webHidden/>
              </w:rPr>
            </w:r>
            <w:r w:rsidR="00606699">
              <w:rPr>
                <w:noProof/>
                <w:webHidden/>
              </w:rPr>
              <w:fldChar w:fldCharType="separate"/>
            </w:r>
            <w:r w:rsidR="00B05725">
              <w:rPr>
                <w:noProof/>
                <w:webHidden/>
              </w:rPr>
              <w:t>14</w:t>
            </w:r>
            <w:r w:rsidR="00606699">
              <w:rPr>
                <w:noProof/>
                <w:webHidden/>
              </w:rPr>
              <w:fldChar w:fldCharType="end"/>
            </w:r>
          </w:hyperlink>
        </w:p>
        <w:p w14:paraId="159BDA8E" w14:textId="77777777" w:rsidR="00606699" w:rsidRDefault="001E4C97">
          <w:pPr>
            <w:pStyle w:val="TOC1"/>
            <w:tabs>
              <w:tab w:val="right" w:leader="dot" w:pos="9016"/>
            </w:tabs>
            <w:rPr>
              <w:rFonts w:asciiTheme="minorHAnsi" w:eastAsiaTheme="minorEastAsia" w:hAnsiTheme="minorHAnsi"/>
              <w:noProof/>
              <w:sz w:val="22"/>
              <w:lang w:eastAsia="en-GB"/>
            </w:rPr>
          </w:pPr>
          <w:hyperlink w:anchor="_Toc72949444" w:history="1">
            <w:r w:rsidR="00606699" w:rsidRPr="00C45B8F">
              <w:rPr>
                <w:rStyle w:val="Hyperlink"/>
                <w:noProof/>
              </w:rPr>
              <w:t>Appendix C: Summary of Review Process</w:t>
            </w:r>
            <w:r w:rsidR="00606699">
              <w:rPr>
                <w:noProof/>
                <w:webHidden/>
              </w:rPr>
              <w:tab/>
            </w:r>
            <w:r w:rsidR="00606699">
              <w:rPr>
                <w:noProof/>
                <w:webHidden/>
              </w:rPr>
              <w:fldChar w:fldCharType="begin"/>
            </w:r>
            <w:r w:rsidR="00606699">
              <w:rPr>
                <w:noProof/>
                <w:webHidden/>
              </w:rPr>
              <w:instrText xml:space="preserve"> PAGEREF _Toc72949444 \h </w:instrText>
            </w:r>
            <w:r w:rsidR="00606699">
              <w:rPr>
                <w:noProof/>
                <w:webHidden/>
              </w:rPr>
            </w:r>
            <w:r w:rsidR="00606699">
              <w:rPr>
                <w:noProof/>
                <w:webHidden/>
              </w:rPr>
              <w:fldChar w:fldCharType="separate"/>
            </w:r>
            <w:r w:rsidR="00B05725">
              <w:rPr>
                <w:noProof/>
                <w:webHidden/>
              </w:rPr>
              <w:t>19</w:t>
            </w:r>
            <w:r w:rsidR="00606699">
              <w:rPr>
                <w:noProof/>
                <w:webHidden/>
              </w:rPr>
              <w:fldChar w:fldCharType="end"/>
            </w:r>
          </w:hyperlink>
        </w:p>
        <w:p w14:paraId="371F6F75" w14:textId="06FDC66C" w:rsidR="00AC6E7C" w:rsidRDefault="00AC6E7C">
          <w:r>
            <w:rPr>
              <w:b/>
              <w:bCs/>
              <w:noProof/>
            </w:rPr>
            <w:fldChar w:fldCharType="end"/>
          </w:r>
        </w:p>
      </w:sdtContent>
    </w:sdt>
    <w:p w14:paraId="5A14A8B4" w14:textId="5759BDC8" w:rsidR="00AC6E7C" w:rsidRDefault="00AC6E7C">
      <w:pPr>
        <w:rPr>
          <w:rFonts w:eastAsia="Times New Roman" w:cs="Times New Roman"/>
          <w:b/>
          <w:bCs/>
          <w:color w:val="1F4E79" w:themeColor="accent1" w:themeShade="80"/>
          <w:kern w:val="32"/>
          <w:sz w:val="32"/>
          <w:szCs w:val="32"/>
          <w:lang w:eastAsia="en-GB"/>
        </w:rPr>
      </w:pPr>
    </w:p>
    <w:p w14:paraId="5A7A9803" w14:textId="21957636" w:rsidR="00121AEB" w:rsidRDefault="00121AEB" w:rsidP="00121AEB">
      <w:pPr>
        <w:tabs>
          <w:tab w:val="left" w:pos="4029"/>
        </w:tabs>
      </w:pPr>
      <w:r>
        <w:tab/>
      </w:r>
    </w:p>
    <w:p w14:paraId="6AB9694A" w14:textId="77777777" w:rsidR="00114FB5" w:rsidRDefault="00114FB5" w:rsidP="00121AEB">
      <w:pPr>
        <w:tabs>
          <w:tab w:val="left" w:pos="4029"/>
        </w:tabs>
      </w:pPr>
    </w:p>
    <w:p w14:paraId="6609224F" w14:textId="77777777" w:rsidR="00114FB5" w:rsidRDefault="00114FB5" w:rsidP="00121AEB">
      <w:pPr>
        <w:tabs>
          <w:tab w:val="left" w:pos="4029"/>
        </w:tabs>
      </w:pPr>
    </w:p>
    <w:p w14:paraId="6A5FFB79" w14:textId="217042A5" w:rsidR="00E56CDE" w:rsidRDefault="00121AEB" w:rsidP="00121AEB">
      <w:pPr>
        <w:tabs>
          <w:tab w:val="left" w:pos="4029"/>
        </w:tabs>
        <w:rPr>
          <w:rFonts w:eastAsia="Times New Roman" w:cs="Times New Roman"/>
          <w:b/>
          <w:bCs/>
          <w:color w:val="1F4E79" w:themeColor="accent1" w:themeShade="80"/>
          <w:kern w:val="32"/>
          <w:sz w:val="32"/>
          <w:szCs w:val="32"/>
          <w:lang w:eastAsia="en-GB"/>
        </w:rPr>
      </w:pPr>
      <w:r>
        <w:tab/>
      </w:r>
    </w:p>
    <w:p w14:paraId="2B6AC562" w14:textId="67D0F5D9" w:rsidR="002D365F" w:rsidRPr="008649B9" w:rsidRDefault="00121CD3" w:rsidP="00AC6E7C">
      <w:pPr>
        <w:pStyle w:val="Heading1"/>
      </w:pPr>
      <w:bookmarkStart w:id="1" w:name="_Toc72949419"/>
      <w:r w:rsidRPr="008649B9">
        <w:lastRenderedPageBreak/>
        <w:t>Chapter 1</w:t>
      </w:r>
      <w:r w:rsidR="00AC6E7C">
        <w:t xml:space="preserve">: </w:t>
      </w:r>
      <w:r w:rsidRPr="008649B9">
        <w:t>Who We Are and What We D</w:t>
      </w:r>
      <w:r w:rsidR="00526CCC" w:rsidRPr="008649B9">
        <w:t>o</w:t>
      </w:r>
      <w:bookmarkEnd w:id="1"/>
    </w:p>
    <w:p w14:paraId="2740DC95" w14:textId="77777777" w:rsidR="00121CD3" w:rsidRPr="002D365F" w:rsidRDefault="00121CD3" w:rsidP="0071655E">
      <w:pPr>
        <w:autoSpaceDE w:val="0"/>
        <w:autoSpaceDN w:val="0"/>
        <w:adjustRightInd w:val="0"/>
        <w:spacing w:line="276" w:lineRule="auto"/>
        <w:jc w:val="both"/>
        <w:rPr>
          <w:rFonts w:cs="Arial"/>
          <w:b/>
          <w:color w:val="000000"/>
        </w:rPr>
      </w:pPr>
    </w:p>
    <w:p w14:paraId="68FEF5A2" w14:textId="77777777" w:rsidR="00C44335" w:rsidRDefault="002D365F" w:rsidP="009670B2">
      <w:pPr>
        <w:pStyle w:val="ListParagraph"/>
      </w:pPr>
      <w:r w:rsidRPr="00B734FE">
        <w:t>The Boundary Commission for Northern Ireland</w:t>
      </w:r>
      <w:r>
        <w:t xml:space="preserve"> (“the Commission”) </w:t>
      </w:r>
      <w:r w:rsidRPr="00B734FE">
        <w:t>is an independent and impartial public body</w:t>
      </w:r>
      <w:r>
        <w:t>.</w:t>
      </w:r>
      <w:r w:rsidRPr="00B734FE">
        <w:t xml:space="preserve"> </w:t>
      </w:r>
      <w:r>
        <w:t xml:space="preserve">It </w:t>
      </w:r>
      <w:r w:rsidRPr="00B734FE">
        <w:t>is responsible for reviewing Parliamentary constituenc</w:t>
      </w:r>
      <w:r>
        <w:t>y boundaries</w:t>
      </w:r>
      <w:r w:rsidRPr="00B734FE">
        <w:t xml:space="preserve"> in Northern Ireland</w:t>
      </w:r>
      <w:r>
        <w:t xml:space="preserve"> on the basis of rules laid down by Parliament</w:t>
      </w:r>
      <w:r w:rsidRPr="00B734FE">
        <w:t>.</w:t>
      </w:r>
    </w:p>
    <w:p w14:paraId="6DEA9EF2" w14:textId="18223E2B" w:rsidR="0071655E" w:rsidRDefault="00C44335" w:rsidP="00E11B77">
      <w:pPr>
        <w:ind w:left="360"/>
      </w:pPr>
      <w:r>
        <w:t xml:space="preserve"> </w:t>
      </w:r>
    </w:p>
    <w:p w14:paraId="177647A8" w14:textId="1C98612C" w:rsidR="002D365F" w:rsidRDefault="002D365F" w:rsidP="009670B2">
      <w:pPr>
        <w:pStyle w:val="ListParagraph"/>
      </w:pPr>
      <w:r>
        <w:t xml:space="preserve">There are separate </w:t>
      </w:r>
      <w:r w:rsidR="0071655E">
        <w:t xml:space="preserve">Boundary </w:t>
      </w:r>
      <w:r>
        <w:t xml:space="preserve">Commissions for England, Scotland and Wales. </w:t>
      </w:r>
      <w:r w:rsidR="0071655E">
        <w:t xml:space="preserve">There are also other </w:t>
      </w:r>
      <w:r w:rsidR="0071655E" w:rsidRPr="0071655E">
        <w:t xml:space="preserve">bodies with responsibility for the review of local government boundaries, including the Local </w:t>
      </w:r>
      <w:r w:rsidR="0071655E">
        <w:t xml:space="preserve">Government </w:t>
      </w:r>
      <w:r w:rsidR="00FA0C6D">
        <w:t>Boundaries</w:t>
      </w:r>
      <w:r w:rsidR="0071655E">
        <w:t xml:space="preserve"> Commissioner in Northern Ireland.</w:t>
      </w:r>
      <w:r w:rsidR="0071655E" w:rsidRPr="0071655E">
        <w:t xml:space="preserve"> This guide is not intended to</w:t>
      </w:r>
      <w:r w:rsidR="0071655E">
        <w:t xml:space="preserve"> address the functions of those other bodies.</w:t>
      </w:r>
    </w:p>
    <w:p w14:paraId="2FA7A3B7" w14:textId="77777777" w:rsidR="002D365F" w:rsidRDefault="002D365F" w:rsidP="00F55D5E">
      <w:pPr>
        <w:ind w:left="142"/>
      </w:pPr>
    </w:p>
    <w:p w14:paraId="3186871F" w14:textId="46FF2A1C" w:rsidR="00121CD3" w:rsidRPr="00121CD3" w:rsidRDefault="00121CD3" w:rsidP="009670B2">
      <w:pPr>
        <w:pStyle w:val="ListParagraph"/>
      </w:pPr>
      <w:r>
        <w:t xml:space="preserve">The constitution </w:t>
      </w:r>
      <w:r w:rsidR="002D365F">
        <w:t xml:space="preserve">of the Commission is set out in </w:t>
      </w:r>
      <w:r w:rsidR="002D365F" w:rsidRPr="00A23B6A">
        <w:t>Appendix A</w:t>
      </w:r>
      <w:r w:rsidR="002D365F">
        <w:t xml:space="preserve"> and our current membership is as follows:</w:t>
      </w:r>
    </w:p>
    <w:p w14:paraId="575A7EAA" w14:textId="4E68BE88" w:rsidR="00121CD3" w:rsidRDefault="002D365F" w:rsidP="009670B2">
      <w:pPr>
        <w:pStyle w:val="ListParagraph"/>
        <w:numPr>
          <w:ilvl w:val="0"/>
          <w:numId w:val="12"/>
        </w:numPr>
      </w:pPr>
      <w:r>
        <w:t xml:space="preserve">The </w:t>
      </w:r>
      <w:r w:rsidR="00121CD3">
        <w:t>Speaker of the House of Commons (Chair)</w:t>
      </w:r>
    </w:p>
    <w:p w14:paraId="7E5E9990" w14:textId="44589A83" w:rsidR="00121CD3" w:rsidRDefault="007B1216" w:rsidP="009670B2">
      <w:pPr>
        <w:pStyle w:val="ListParagraph"/>
        <w:numPr>
          <w:ilvl w:val="0"/>
          <w:numId w:val="12"/>
        </w:numPr>
      </w:pPr>
      <w:r>
        <w:t>Mr Justice Michael Humphreys</w:t>
      </w:r>
      <w:r w:rsidR="0032014C">
        <w:t xml:space="preserve"> (D</w:t>
      </w:r>
      <w:r w:rsidR="00121CD3">
        <w:t>eputy Chair)</w:t>
      </w:r>
    </w:p>
    <w:p w14:paraId="43336F70" w14:textId="05D48B13" w:rsidR="00121CD3" w:rsidRDefault="002D365F" w:rsidP="009670B2">
      <w:pPr>
        <w:pStyle w:val="ListParagraph"/>
        <w:numPr>
          <w:ilvl w:val="0"/>
          <w:numId w:val="12"/>
        </w:numPr>
      </w:pPr>
      <w:r w:rsidRPr="00121CD3">
        <w:t xml:space="preserve">Sarah Havlin </w:t>
      </w:r>
      <w:r w:rsidR="00121CD3">
        <w:t>(Commissioner)</w:t>
      </w:r>
    </w:p>
    <w:p w14:paraId="15401D12" w14:textId="459971BF" w:rsidR="002D365F" w:rsidRPr="00121CD3" w:rsidRDefault="002D365F" w:rsidP="009670B2">
      <w:pPr>
        <w:pStyle w:val="ListParagraph"/>
        <w:numPr>
          <w:ilvl w:val="0"/>
          <w:numId w:val="12"/>
        </w:numPr>
      </w:pPr>
      <w:r w:rsidRPr="00121CD3">
        <w:t>Vilma Patterson MBE</w:t>
      </w:r>
      <w:r w:rsidR="00121CD3">
        <w:t xml:space="preserve"> (Commissioner)</w:t>
      </w:r>
    </w:p>
    <w:p w14:paraId="5C75FC39" w14:textId="77777777" w:rsidR="00D25FF1" w:rsidRDefault="00D25FF1" w:rsidP="00F55D5E">
      <w:pPr>
        <w:ind w:left="142"/>
      </w:pPr>
    </w:p>
    <w:p w14:paraId="0C1B6801" w14:textId="69256E4D" w:rsidR="00121CD3" w:rsidRPr="00526CCC" w:rsidRDefault="00D25FF1" w:rsidP="009670B2">
      <w:pPr>
        <w:pStyle w:val="ListParagraph"/>
      </w:pPr>
      <w:r w:rsidRPr="00526CCC">
        <w:t>The Commission is supported in its work by</w:t>
      </w:r>
      <w:r w:rsidR="00526CCC">
        <w:t xml:space="preserve"> </w:t>
      </w:r>
      <w:r w:rsidRPr="00526CCC">
        <w:t>a small Secretariat</w:t>
      </w:r>
      <w:r w:rsidR="00121CD3">
        <w:t>; the Secretary to the Commission is Heather McKinley. The officers of the Commission also include the following assessors:</w:t>
      </w:r>
    </w:p>
    <w:p w14:paraId="3A4A262B" w14:textId="19C789B0" w:rsidR="00526CCC" w:rsidRPr="00526CCC" w:rsidRDefault="00121CD3" w:rsidP="009670B2">
      <w:pPr>
        <w:pStyle w:val="ListParagraph"/>
        <w:numPr>
          <w:ilvl w:val="0"/>
          <w:numId w:val="10"/>
        </w:numPr>
      </w:pPr>
      <w:r>
        <w:t xml:space="preserve">The </w:t>
      </w:r>
      <w:r w:rsidR="00526CCC" w:rsidRPr="00526CCC">
        <w:t>Registrar General of Births and Deaths in Northern Ireland</w:t>
      </w:r>
    </w:p>
    <w:p w14:paraId="163787FF" w14:textId="430D950B" w:rsidR="00526CCC" w:rsidRPr="00526CCC" w:rsidRDefault="00121CD3" w:rsidP="009670B2">
      <w:pPr>
        <w:pStyle w:val="ListParagraph"/>
        <w:numPr>
          <w:ilvl w:val="0"/>
          <w:numId w:val="10"/>
        </w:numPr>
      </w:pPr>
      <w:r>
        <w:t xml:space="preserve">The </w:t>
      </w:r>
      <w:r w:rsidR="00526CCC" w:rsidRPr="00526CCC">
        <w:t>Commissioner of Valuation for Northern Ireland</w:t>
      </w:r>
    </w:p>
    <w:p w14:paraId="544BC576" w14:textId="7A32407A" w:rsidR="00526CCC" w:rsidRPr="00526CCC" w:rsidRDefault="00121CD3" w:rsidP="009670B2">
      <w:pPr>
        <w:pStyle w:val="ListParagraph"/>
        <w:numPr>
          <w:ilvl w:val="0"/>
          <w:numId w:val="10"/>
        </w:numPr>
      </w:pPr>
      <w:r>
        <w:t xml:space="preserve">The </w:t>
      </w:r>
      <w:r w:rsidR="00526CCC" w:rsidRPr="00526CCC">
        <w:t>Chief Electoral Officer for Northern Ireland</w:t>
      </w:r>
    </w:p>
    <w:p w14:paraId="33BE3F73" w14:textId="635C25E9" w:rsidR="00526CCC" w:rsidRPr="00121CD3" w:rsidRDefault="00121CD3" w:rsidP="009670B2">
      <w:pPr>
        <w:pStyle w:val="ListParagraph"/>
        <w:numPr>
          <w:ilvl w:val="0"/>
          <w:numId w:val="10"/>
        </w:numPr>
      </w:pPr>
      <w:r>
        <w:t xml:space="preserve">The </w:t>
      </w:r>
      <w:r w:rsidR="00526CCC" w:rsidRPr="00526CCC">
        <w:t>Chief Survey Office</w:t>
      </w:r>
      <w:r>
        <w:t>r of Land and Property Services</w:t>
      </w:r>
    </w:p>
    <w:p w14:paraId="794A4FF9" w14:textId="77777777" w:rsidR="00526CCC" w:rsidRDefault="00526CCC" w:rsidP="00F55D5E">
      <w:pPr>
        <w:ind w:left="142"/>
      </w:pPr>
    </w:p>
    <w:p w14:paraId="03EF7304" w14:textId="03AEBBAF" w:rsidR="00121CD3" w:rsidRPr="00D14C2F" w:rsidRDefault="002D365F" w:rsidP="009670B2">
      <w:pPr>
        <w:pStyle w:val="ListParagraph"/>
      </w:pPr>
      <w:r>
        <w:t>The Commission is required to submit a formal report</w:t>
      </w:r>
      <w:r w:rsidR="00DE0794">
        <w:t xml:space="preserve"> </w:t>
      </w:r>
      <w:r w:rsidR="00DE0794" w:rsidRPr="00A23B6A">
        <w:t xml:space="preserve">to </w:t>
      </w:r>
      <w:r w:rsidR="007B1216" w:rsidRPr="00A23B6A">
        <w:t>the Speaker of the House of Commons</w:t>
      </w:r>
      <w:r w:rsidRPr="00A23B6A">
        <w:t xml:space="preserve"> by 1</w:t>
      </w:r>
      <w:r w:rsidR="007B1216" w:rsidRPr="00A23B6A">
        <w:rPr>
          <w:vertAlign w:val="superscript"/>
        </w:rPr>
        <w:t xml:space="preserve"> </w:t>
      </w:r>
      <w:r w:rsidRPr="00A23B6A">
        <w:t>July 2023 on the basis of rules set out in the</w:t>
      </w:r>
      <w:r>
        <w:t xml:space="preserve"> Parliamentary Constituencies Act 1986</w:t>
      </w:r>
      <w:r w:rsidR="003C2784">
        <w:t xml:space="preserve"> (“the Act”)</w:t>
      </w:r>
      <w:r>
        <w:t>, as amended by:</w:t>
      </w:r>
    </w:p>
    <w:p w14:paraId="0069D064" w14:textId="08BADE51" w:rsidR="002D365F" w:rsidRPr="00121CD3" w:rsidRDefault="002D365F" w:rsidP="009670B2">
      <w:pPr>
        <w:pStyle w:val="ListParagraph"/>
        <w:numPr>
          <w:ilvl w:val="0"/>
          <w:numId w:val="11"/>
        </w:numPr>
      </w:pPr>
      <w:r w:rsidRPr="00121CD3">
        <w:t>the Boundary Commissions Act 1992</w:t>
      </w:r>
    </w:p>
    <w:p w14:paraId="766C42B9" w14:textId="77777777" w:rsidR="002D365F" w:rsidRPr="00121CD3" w:rsidRDefault="002D365F" w:rsidP="009670B2">
      <w:pPr>
        <w:pStyle w:val="ListParagraph"/>
        <w:numPr>
          <w:ilvl w:val="0"/>
          <w:numId w:val="11"/>
        </w:numPr>
      </w:pPr>
      <w:r w:rsidRPr="00121CD3">
        <w:t>the Parliamentary Voting System and Constituencies Act 2011</w:t>
      </w:r>
    </w:p>
    <w:p w14:paraId="3248AE77" w14:textId="77777777" w:rsidR="002D365F" w:rsidRPr="0032014C" w:rsidRDefault="002D365F" w:rsidP="009670B2">
      <w:pPr>
        <w:pStyle w:val="ListParagraph"/>
        <w:numPr>
          <w:ilvl w:val="0"/>
          <w:numId w:val="11"/>
        </w:numPr>
      </w:pPr>
      <w:r w:rsidRPr="0032014C">
        <w:t>the Electoral Registration and Administration Act 2013</w:t>
      </w:r>
    </w:p>
    <w:p w14:paraId="2959EBD1" w14:textId="0EC706E8" w:rsidR="002D365F" w:rsidRPr="00121CD3" w:rsidRDefault="002D365F" w:rsidP="009670B2">
      <w:pPr>
        <w:pStyle w:val="ListParagraph"/>
        <w:numPr>
          <w:ilvl w:val="0"/>
          <w:numId w:val="11"/>
        </w:numPr>
      </w:pPr>
      <w:r w:rsidRPr="00121CD3">
        <w:t>the Parliamentary Constituencies Act</w:t>
      </w:r>
      <w:r w:rsidR="003C1DEB" w:rsidRPr="00121CD3">
        <w:t xml:space="preserve"> </w:t>
      </w:r>
      <w:r w:rsidR="003C2784" w:rsidRPr="00121CD3">
        <w:t>2020</w:t>
      </w:r>
    </w:p>
    <w:p w14:paraId="79B86992" w14:textId="77777777" w:rsidR="002D365F" w:rsidRDefault="002D365F" w:rsidP="0071655E">
      <w:pPr>
        <w:autoSpaceDE w:val="0"/>
        <w:autoSpaceDN w:val="0"/>
        <w:adjustRightInd w:val="0"/>
        <w:spacing w:line="276" w:lineRule="auto"/>
        <w:ind w:left="360" w:hanging="360"/>
        <w:jc w:val="both"/>
        <w:rPr>
          <w:rFonts w:cs="Arial"/>
          <w:color w:val="000000"/>
        </w:rPr>
      </w:pPr>
    </w:p>
    <w:p w14:paraId="2E8EF747" w14:textId="6AF21F76" w:rsidR="002D365F" w:rsidRPr="00565EB8" w:rsidRDefault="001572FE" w:rsidP="009670B2">
      <w:pPr>
        <w:pStyle w:val="ListParagraph"/>
      </w:pPr>
      <w:r>
        <w:t>In order to prepare its</w:t>
      </w:r>
      <w:r w:rsidR="002D365F">
        <w:t xml:space="preserve"> report</w:t>
      </w:r>
      <w:r w:rsidR="00121CD3">
        <w:t>,</w:t>
      </w:r>
      <w:r>
        <w:t xml:space="preserve"> the Commission</w:t>
      </w:r>
      <w:r w:rsidR="002D365F">
        <w:t xml:space="preserve"> will carry out a review process.</w:t>
      </w:r>
      <w:r w:rsidR="002D365F" w:rsidRPr="00E77030">
        <w:t xml:space="preserve"> </w:t>
      </w:r>
      <w:r w:rsidR="003A18AD">
        <w:t xml:space="preserve">This process is </w:t>
      </w:r>
      <w:r w:rsidR="002D365F">
        <w:t>refer</w:t>
      </w:r>
      <w:r w:rsidR="003A18AD">
        <w:t>red to</w:t>
      </w:r>
      <w:r w:rsidR="002D365F">
        <w:t xml:space="preserve"> as “the 2023 Review”. </w:t>
      </w:r>
    </w:p>
    <w:p w14:paraId="3DB12779" w14:textId="77777777" w:rsidR="002D365F" w:rsidRDefault="002D365F" w:rsidP="00F55D5E">
      <w:pPr>
        <w:ind w:left="142"/>
      </w:pPr>
    </w:p>
    <w:p w14:paraId="62AAE51B" w14:textId="674F6B94" w:rsidR="002D365F" w:rsidRPr="0071655E" w:rsidRDefault="00312DA9" w:rsidP="009670B2">
      <w:pPr>
        <w:pStyle w:val="ListParagraph"/>
      </w:pPr>
      <w:r>
        <w:t>Public consultation is an important part of the 2023 Review. The Commission will develop</w:t>
      </w:r>
      <w:r w:rsidR="002F2BB0">
        <w:t xml:space="preserve"> and publish </w:t>
      </w:r>
      <w:r>
        <w:t>proposa</w:t>
      </w:r>
      <w:r w:rsidR="00737862">
        <w:t xml:space="preserve">ls, in accordance with the Act. </w:t>
      </w:r>
      <w:r w:rsidR="00181832">
        <w:t>The public will</w:t>
      </w:r>
      <w:r>
        <w:t xml:space="preserve"> have </w:t>
      </w:r>
      <w:r>
        <w:lastRenderedPageBreak/>
        <w:t>opportunities to submit written and oral representations about the published proposals</w:t>
      </w:r>
      <w:r w:rsidR="00565EB8">
        <w:t>, as part of a structured process</w:t>
      </w:r>
      <w:r w:rsidR="002D365F" w:rsidRPr="005511E8">
        <w:t>.</w:t>
      </w:r>
      <w:r>
        <w:t xml:space="preserve"> The Commission will take these representations into </w:t>
      </w:r>
      <w:r w:rsidRPr="00C177C3">
        <w:t>account when preparing recommendations</w:t>
      </w:r>
      <w:r w:rsidR="0032014C" w:rsidRPr="00C177C3">
        <w:t xml:space="preserve"> for the final report which will be </w:t>
      </w:r>
      <w:r w:rsidRPr="00C177C3">
        <w:t>submit</w:t>
      </w:r>
      <w:r w:rsidR="0032014C" w:rsidRPr="00C177C3">
        <w:t>ted</w:t>
      </w:r>
      <w:r w:rsidRPr="00C177C3">
        <w:t xml:space="preserve"> to </w:t>
      </w:r>
      <w:r w:rsidR="007B1216" w:rsidRPr="00C177C3">
        <w:t>the Speaker</w:t>
      </w:r>
      <w:r w:rsidRPr="00C177C3">
        <w:t>.</w:t>
      </w:r>
      <w:r w:rsidR="002D365F" w:rsidRPr="00C177C3">
        <w:t xml:space="preserve"> Further</w:t>
      </w:r>
      <w:r w:rsidR="002D365F" w:rsidRPr="00E2300D">
        <w:t xml:space="preserve"> information about public consultation is </w:t>
      </w:r>
      <w:r w:rsidR="002516D2">
        <w:t>provided</w:t>
      </w:r>
      <w:r w:rsidR="002D365F" w:rsidRPr="0032014C">
        <w:t xml:space="preserve"> in </w:t>
      </w:r>
      <w:r w:rsidR="0032014C" w:rsidRPr="0032014C">
        <w:t>Chapter 4</w:t>
      </w:r>
      <w:r w:rsidR="002D365F" w:rsidRPr="0032014C">
        <w:t>.</w:t>
      </w:r>
    </w:p>
    <w:p w14:paraId="37F10140" w14:textId="77777777" w:rsidR="002D365F" w:rsidRPr="00076055" w:rsidRDefault="002D365F" w:rsidP="0071655E">
      <w:pPr>
        <w:spacing w:line="276" w:lineRule="auto"/>
        <w:jc w:val="both"/>
        <w:rPr>
          <w:rFonts w:cs="Arial"/>
          <w:color w:val="000000"/>
        </w:rPr>
      </w:pPr>
    </w:p>
    <w:p w14:paraId="4C9EABAC" w14:textId="77777777" w:rsidR="007B2D1C" w:rsidRDefault="002D365F" w:rsidP="007B2D1C">
      <w:pPr>
        <w:pStyle w:val="ListParagraph"/>
      </w:pPr>
      <w:r w:rsidRPr="00C177C3">
        <w:t>This Guide is a basic introduction to the review process, which relates solely to Parliamentary constituency boundaries.  It is not intended to b</w:t>
      </w:r>
      <w:r w:rsidR="0071655E" w:rsidRPr="00C177C3">
        <w:t xml:space="preserve">e a full statement of the law. </w:t>
      </w:r>
      <w:r w:rsidRPr="00C177C3">
        <w:t xml:space="preserve">For that, please see the </w:t>
      </w:r>
      <w:r w:rsidR="00A03AE6" w:rsidRPr="00C177C3">
        <w:t xml:space="preserve">relevant legislation (as set out above), which is available at </w:t>
      </w:r>
      <w:hyperlink r:id="rId11" w:history="1">
        <w:r w:rsidR="00AF27E1" w:rsidRPr="00C177C3">
          <w:rPr>
            <w:rStyle w:val="Hyperlink"/>
            <w:rFonts w:cs="Arial"/>
          </w:rPr>
          <w:t>www.legislation.gov.uk</w:t>
        </w:r>
      </w:hyperlink>
      <w:r w:rsidR="00A03AE6" w:rsidRPr="00C177C3">
        <w:t>.</w:t>
      </w:r>
    </w:p>
    <w:p w14:paraId="188BE41C" w14:textId="77777777" w:rsidR="007B2D1C" w:rsidRDefault="007B2D1C" w:rsidP="007B2D1C">
      <w:pPr>
        <w:pStyle w:val="ListParagraph"/>
        <w:numPr>
          <w:ilvl w:val="0"/>
          <w:numId w:val="0"/>
        </w:numPr>
      </w:pPr>
    </w:p>
    <w:p w14:paraId="77ED76FC" w14:textId="7E2CD247" w:rsidR="002D365F" w:rsidRDefault="002D365F" w:rsidP="007B2D1C">
      <w:pPr>
        <w:pStyle w:val="ListParagraph"/>
      </w:pPr>
      <w:r w:rsidRPr="00C177C3">
        <w:t>If you would like further information</w:t>
      </w:r>
      <w:r w:rsidR="0071655E" w:rsidRPr="00C177C3">
        <w:t>,</w:t>
      </w:r>
      <w:r w:rsidRPr="00C177C3">
        <w:t xml:space="preserve"> you can contact the Commission</w:t>
      </w:r>
      <w:r w:rsidR="0071655E" w:rsidRPr="00C177C3">
        <w:t xml:space="preserve"> using the details below. We will be updating</w:t>
      </w:r>
      <w:r w:rsidR="0071655E" w:rsidRPr="00AF27E1">
        <w:t xml:space="preserve"> information on our website throughout the review process and key documents will </w:t>
      </w:r>
      <w:r w:rsidR="0032014C" w:rsidRPr="00AF27E1">
        <w:t>be available there</w:t>
      </w:r>
      <w:r w:rsidR="0071655E" w:rsidRPr="00AF27E1">
        <w:t>.</w:t>
      </w:r>
    </w:p>
    <w:p w14:paraId="43E115B9" w14:textId="77777777" w:rsidR="00010822" w:rsidRPr="007B2D1C" w:rsidRDefault="00010822" w:rsidP="00010822">
      <w:pPr>
        <w:pStyle w:val="ListParagraph"/>
        <w:numPr>
          <w:ilvl w:val="0"/>
          <w:numId w:val="0"/>
        </w:numPr>
      </w:pPr>
    </w:p>
    <w:p w14:paraId="6DF14FEE" w14:textId="77777777" w:rsidR="0032014C" w:rsidRDefault="002D365F" w:rsidP="00010822">
      <w:pPr>
        <w:autoSpaceDE w:val="0"/>
        <w:autoSpaceDN w:val="0"/>
        <w:adjustRightInd w:val="0"/>
        <w:spacing w:after="0" w:line="240" w:lineRule="auto"/>
        <w:jc w:val="both"/>
        <w:rPr>
          <w:rFonts w:cs="Arial"/>
          <w:color w:val="000000"/>
        </w:rPr>
      </w:pPr>
      <w:r>
        <w:rPr>
          <w:rFonts w:cs="Arial"/>
          <w:color w:val="000000"/>
        </w:rPr>
        <w:t xml:space="preserve">The </w:t>
      </w:r>
      <w:r w:rsidRPr="00C46BD9">
        <w:rPr>
          <w:rFonts w:cs="Arial"/>
          <w:color w:val="000000"/>
        </w:rPr>
        <w:t xml:space="preserve">Boundary Commission for Northern Ireland </w:t>
      </w:r>
    </w:p>
    <w:p w14:paraId="068091FD" w14:textId="01993776" w:rsidR="0071655E" w:rsidRDefault="002D365F" w:rsidP="00010822">
      <w:pPr>
        <w:autoSpaceDE w:val="0"/>
        <w:autoSpaceDN w:val="0"/>
        <w:adjustRightInd w:val="0"/>
        <w:spacing w:after="0" w:line="240" w:lineRule="auto"/>
        <w:jc w:val="both"/>
        <w:rPr>
          <w:rFonts w:cs="Arial"/>
          <w:color w:val="000000"/>
        </w:rPr>
      </w:pPr>
      <w:r>
        <w:rPr>
          <w:rFonts w:cs="Arial"/>
          <w:color w:val="000000"/>
        </w:rPr>
        <w:t>The Bungalow</w:t>
      </w:r>
    </w:p>
    <w:p w14:paraId="782F2698" w14:textId="77777777" w:rsidR="0071655E" w:rsidRDefault="0071655E" w:rsidP="00010822">
      <w:pPr>
        <w:autoSpaceDE w:val="0"/>
        <w:autoSpaceDN w:val="0"/>
        <w:adjustRightInd w:val="0"/>
        <w:spacing w:after="0" w:line="240" w:lineRule="auto"/>
        <w:jc w:val="both"/>
        <w:rPr>
          <w:rFonts w:cs="Arial"/>
          <w:color w:val="000000"/>
        </w:rPr>
      </w:pPr>
      <w:r>
        <w:rPr>
          <w:rFonts w:cs="Arial"/>
          <w:color w:val="000000"/>
        </w:rPr>
        <w:t>Stormont House</w:t>
      </w:r>
    </w:p>
    <w:p w14:paraId="46B99F60" w14:textId="77777777" w:rsidR="0071655E" w:rsidRDefault="002D365F" w:rsidP="00010822">
      <w:pPr>
        <w:autoSpaceDE w:val="0"/>
        <w:autoSpaceDN w:val="0"/>
        <w:adjustRightInd w:val="0"/>
        <w:spacing w:after="0" w:line="240" w:lineRule="auto"/>
        <w:jc w:val="both"/>
        <w:rPr>
          <w:rFonts w:cs="Arial"/>
          <w:color w:val="000000"/>
        </w:rPr>
      </w:pPr>
      <w:r>
        <w:rPr>
          <w:rFonts w:cs="Arial"/>
          <w:color w:val="000000"/>
        </w:rPr>
        <w:t>Stormont Estate</w:t>
      </w:r>
    </w:p>
    <w:p w14:paraId="5D98D6A7" w14:textId="77777777" w:rsidR="0071655E" w:rsidRDefault="002D365F" w:rsidP="00010822">
      <w:pPr>
        <w:autoSpaceDE w:val="0"/>
        <w:autoSpaceDN w:val="0"/>
        <w:adjustRightInd w:val="0"/>
        <w:spacing w:after="0" w:line="240" w:lineRule="auto"/>
        <w:jc w:val="both"/>
        <w:rPr>
          <w:rFonts w:cs="Arial"/>
          <w:color w:val="000000"/>
        </w:rPr>
      </w:pPr>
      <w:r w:rsidRPr="00C46BD9">
        <w:rPr>
          <w:rFonts w:cs="Arial"/>
          <w:color w:val="000000"/>
        </w:rPr>
        <w:t>Belfast</w:t>
      </w:r>
    </w:p>
    <w:p w14:paraId="50A2930C" w14:textId="37F1466A" w:rsidR="0071655E" w:rsidRDefault="002D365F" w:rsidP="00010822">
      <w:pPr>
        <w:autoSpaceDE w:val="0"/>
        <w:autoSpaceDN w:val="0"/>
        <w:adjustRightInd w:val="0"/>
        <w:spacing w:after="0" w:line="240" w:lineRule="auto"/>
        <w:jc w:val="both"/>
        <w:rPr>
          <w:rFonts w:cs="Arial"/>
          <w:color w:val="000000"/>
        </w:rPr>
      </w:pPr>
      <w:r>
        <w:rPr>
          <w:rFonts w:cs="Arial"/>
          <w:color w:val="000000"/>
        </w:rPr>
        <w:t>BT4 3SH</w:t>
      </w:r>
    </w:p>
    <w:p w14:paraId="3E2727BA" w14:textId="77777777" w:rsidR="0071655E" w:rsidRDefault="0071655E" w:rsidP="0032014C">
      <w:pPr>
        <w:autoSpaceDE w:val="0"/>
        <w:autoSpaceDN w:val="0"/>
        <w:adjustRightInd w:val="0"/>
        <w:spacing w:after="0" w:line="276" w:lineRule="auto"/>
        <w:ind w:left="357"/>
        <w:jc w:val="both"/>
        <w:rPr>
          <w:rFonts w:cs="Arial"/>
          <w:color w:val="000000"/>
        </w:rPr>
      </w:pPr>
    </w:p>
    <w:p w14:paraId="1F09F2C3" w14:textId="77777777" w:rsidR="0071655E" w:rsidRDefault="002D365F" w:rsidP="00010822">
      <w:pPr>
        <w:autoSpaceDE w:val="0"/>
        <w:autoSpaceDN w:val="0"/>
        <w:adjustRightInd w:val="0"/>
        <w:spacing w:after="0" w:line="276" w:lineRule="auto"/>
        <w:jc w:val="both"/>
        <w:rPr>
          <w:rFonts w:cs="Arial"/>
          <w:color w:val="000000"/>
        </w:rPr>
      </w:pPr>
      <w:r w:rsidRPr="00C46BD9">
        <w:rPr>
          <w:rFonts w:cs="Arial"/>
          <w:color w:val="000000"/>
        </w:rPr>
        <w:t xml:space="preserve">Telephone: </w:t>
      </w:r>
      <w:r>
        <w:rPr>
          <w:rFonts w:cs="Arial"/>
          <w:color w:val="000000"/>
        </w:rPr>
        <w:t>028 9052 7821</w:t>
      </w:r>
      <w:r w:rsidRPr="00C46BD9">
        <w:rPr>
          <w:rFonts w:cs="Arial"/>
          <w:color w:val="000000"/>
        </w:rPr>
        <w:t xml:space="preserve"> </w:t>
      </w:r>
    </w:p>
    <w:p w14:paraId="3E588ABE" w14:textId="77777777" w:rsidR="0071655E" w:rsidRDefault="002D365F" w:rsidP="00010822">
      <w:pPr>
        <w:autoSpaceDE w:val="0"/>
        <w:autoSpaceDN w:val="0"/>
        <w:adjustRightInd w:val="0"/>
        <w:spacing w:after="0" w:line="276" w:lineRule="auto"/>
        <w:jc w:val="both"/>
        <w:rPr>
          <w:rStyle w:val="Hyperlink"/>
          <w:rFonts w:cs="Arial"/>
        </w:rPr>
      </w:pPr>
      <w:r w:rsidRPr="00C46BD9">
        <w:rPr>
          <w:rFonts w:cs="Arial"/>
          <w:color w:val="000000"/>
        </w:rPr>
        <w:t xml:space="preserve">Email: </w:t>
      </w:r>
      <w:hyperlink r:id="rId12" w:history="1">
        <w:r w:rsidRPr="005E1270">
          <w:rPr>
            <w:rStyle w:val="Hyperlink"/>
            <w:rFonts w:cs="Arial"/>
          </w:rPr>
          <w:t>contact@boundarycommission.org.uk</w:t>
        </w:r>
      </w:hyperlink>
    </w:p>
    <w:p w14:paraId="18A974C4" w14:textId="77777777" w:rsidR="0071655E" w:rsidRDefault="002D365F" w:rsidP="00010822">
      <w:pPr>
        <w:autoSpaceDE w:val="0"/>
        <w:autoSpaceDN w:val="0"/>
        <w:adjustRightInd w:val="0"/>
        <w:spacing w:after="0" w:line="276" w:lineRule="auto"/>
        <w:jc w:val="both"/>
        <w:rPr>
          <w:rFonts w:cs="Arial"/>
          <w:color w:val="000000"/>
        </w:rPr>
      </w:pPr>
      <w:r>
        <w:rPr>
          <w:rFonts w:cs="Arial"/>
          <w:color w:val="000000"/>
        </w:rPr>
        <w:t xml:space="preserve">Website: </w:t>
      </w:r>
      <w:hyperlink r:id="rId13" w:history="1">
        <w:r w:rsidRPr="00AF0517">
          <w:rPr>
            <w:rStyle w:val="Hyperlink"/>
            <w:rFonts w:cs="Arial"/>
          </w:rPr>
          <w:t>www.boundarycommission.org.uk</w:t>
        </w:r>
      </w:hyperlink>
      <w:r>
        <w:rPr>
          <w:rFonts w:cs="Arial"/>
          <w:color w:val="000000"/>
        </w:rPr>
        <w:t xml:space="preserve"> </w:t>
      </w:r>
    </w:p>
    <w:p w14:paraId="54C71477" w14:textId="674D39A6" w:rsidR="002D365F" w:rsidRDefault="002D365F" w:rsidP="00010822">
      <w:pPr>
        <w:autoSpaceDE w:val="0"/>
        <w:autoSpaceDN w:val="0"/>
        <w:adjustRightInd w:val="0"/>
        <w:spacing w:after="0" w:line="276" w:lineRule="auto"/>
        <w:jc w:val="both"/>
        <w:rPr>
          <w:rFonts w:cs="Arial"/>
          <w:color w:val="000000"/>
        </w:rPr>
      </w:pPr>
      <w:r>
        <w:rPr>
          <w:rFonts w:cs="Arial"/>
          <w:color w:val="000000"/>
        </w:rPr>
        <w:t>Twitter: @BCommNI</w:t>
      </w:r>
    </w:p>
    <w:p w14:paraId="69BAF94D" w14:textId="77777777" w:rsidR="00565EB8" w:rsidRDefault="00565EB8" w:rsidP="00565EB8">
      <w:pPr>
        <w:jc w:val="both"/>
        <w:rPr>
          <w:rFonts w:eastAsia="Calibri" w:cs="Arial"/>
          <w:color w:val="000000"/>
          <w:szCs w:val="24"/>
          <w:lang w:eastAsia="en-GB"/>
        </w:rPr>
      </w:pPr>
    </w:p>
    <w:p w14:paraId="671A2CB2" w14:textId="74C73698" w:rsidR="0032014C" w:rsidRDefault="0032014C">
      <w:pPr>
        <w:rPr>
          <w:rFonts w:eastAsia="Calibri" w:cs="Arial"/>
          <w:color w:val="000000"/>
          <w:szCs w:val="24"/>
          <w:lang w:eastAsia="en-GB"/>
        </w:rPr>
      </w:pPr>
      <w:r>
        <w:rPr>
          <w:rFonts w:eastAsia="Calibri" w:cs="Arial"/>
          <w:color w:val="000000"/>
          <w:szCs w:val="24"/>
          <w:lang w:eastAsia="en-GB"/>
        </w:rPr>
        <w:br w:type="page"/>
      </w:r>
    </w:p>
    <w:p w14:paraId="6FF8ACAA" w14:textId="5DC9DE5A" w:rsidR="00913474" w:rsidRPr="008649B9" w:rsidRDefault="00913474" w:rsidP="00AC6E7C">
      <w:pPr>
        <w:pStyle w:val="Heading1"/>
      </w:pPr>
      <w:bookmarkStart w:id="2" w:name="_Toc72949420"/>
      <w:r w:rsidRPr="008649B9">
        <w:lastRenderedPageBreak/>
        <w:t>Chapter 2</w:t>
      </w:r>
      <w:r w:rsidR="00AC6E7C">
        <w:t xml:space="preserve">: </w:t>
      </w:r>
      <w:r w:rsidRPr="008649B9">
        <w:t>Preparing for the 2023 Review</w:t>
      </w:r>
      <w:bookmarkEnd w:id="2"/>
    </w:p>
    <w:p w14:paraId="4C6A81AC" w14:textId="1AF51707" w:rsidR="00913474" w:rsidRDefault="00913474" w:rsidP="00565EB8">
      <w:pPr>
        <w:jc w:val="both"/>
        <w:rPr>
          <w:rFonts w:cs="Arial"/>
          <w:b/>
          <w:bCs/>
          <w:kern w:val="32"/>
        </w:rPr>
      </w:pPr>
    </w:p>
    <w:p w14:paraId="2BF47FF6" w14:textId="301756A6" w:rsidR="008649B9" w:rsidRPr="008649B9" w:rsidRDefault="00320398" w:rsidP="00AC6E7C">
      <w:pPr>
        <w:pStyle w:val="Heading2"/>
      </w:pPr>
      <w:bookmarkStart w:id="3" w:name="_Toc72949421"/>
      <w:r>
        <w:t>Electorate Data</w:t>
      </w:r>
      <w:bookmarkEnd w:id="3"/>
    </w:p>
    <w:p w14:paraId="3B673CD8" w14:textId="41ADB6DA" w:rsidR="00EF0EE7" w:rsidRDefault="00320398" w:rsidP="009670B2">
      <w:pPr>
        <w:pStyle w:val="ListParagraph"/>
      </w:pPr>
      <w:r w:rsidRPr="00320398">
        <w:t xml:space="preserve">The </w:t>
      </w:r>
      <w:r>
        <w:t xml:space="preserve">Act </w:t>
      </w:r>
      <w:r w:rsidRPr="00320398">
        <w:t>specifies which electorate figures are to be used by the Commission when carrying out a review. For the 2023 Review, the Commission is required to use the total number of persons whose</w:t>
      </w:r>
      <w:r w:rsidR="00AC7AB9">
        <w:t xml:space="preserve"> names appeared on the</w:t>
      </w:r>
      <w:r w:rsidRPr="00320398">
        <w:t xml:space="preserve"> electora</w:t>
      </w:r>
      <w:r w:rsidR="00610E41">
        <w:t>l register</w:t>
      </w:r>
      <w:r w:rsidR="000D5A95">
        <w:t xml:space="preserve"> as</w:t>
      </w:r>
      <w:r w:rsidR="00610E41">
        <w:t xml:space="preserve"> at</w:t>
      </w:r>
      <w:r>
        <w:t xml:space="preserve"> 2 March 2020. </w:t>
      </w:r>
      <w:r w:rsidRPr="00320398">
        <w:t>The Commis</w:t>
      </w:r>
      <w:r w:rsidR="005973C8">
        <w:t>sion has obtained the</w:t>
      </w:r>
      <w:r w:rsidRPr="00320398">
        <w:t xml:space="preserve"> </w:t>
      </w:r>
      <w:hyperlink r:id="rId14" w:history="1">
        <w:r w:rsidRPr="00F27482">
          <w:rPr>
            <w:rStyle w:val="Hyperlink"/>
            <w:rFonts w:cs="Arial"/>
          </w:rPr>
          <w:t>electorate figures</w:t>
        </w:r>
      </w:hyperlink>
      <w:r w:rsidRPr="00320398">
        <w:t xml:space="preserve"> for the 2023 Review from the Electoral Office for Northern Ireland.</w:t>
      </w:r>
    </w:p>
    <w:p w14:paraId="6BF92DD1" w14:textId="77777777" w:rsidR="009503A4" w:rsidRPr="009503A4" w:rsidRDefault="009503A4" w:rsidP="00E11B77">
      <w:pPr>
        <w:ind w:left="284"/>
      </w:pPr>
    </w:p>
    <w:p w14:paraId="50021E71" w14:textId="11DFC0C6" w:rsidR="00EF0EE7" w:rsidRPr="009503A4" w:rsidRDefault="00EF0EE7" w:rsidP="00AC6E7C">
      <w:pPr>
        <w:pStyle w:val="Heading2"/>
      </w:pPr>
      <w:bookmarkStart w:id="4" w:name="_Toc72949422"/>
      <w:r w:rsidRPr="009503A4">
        <w:t>Allocation of Constituencies</w:t>
      </w:r>
      <w:bookmarkEnd w:id="4"/>
    </w:p>
    <w:p w14:paraId="6DC1470C" w14:textId="2ACF9AB6" w:rsidR="00320398" w:rsidRDefault="00320398" w:rsidP="009670B2">
      <w:pPr>
        <w:pStyle w:val="ListParagraph"/>
      </w:pPr>
      <w:r>
        <w:t>The Act specifies</w:t>
      </w:r>
      <w:r w:rsidR="00EF0EE7" w:rsidRPr="004940CF">
        <w:t xml:space="preserve"> that there shall be 650 constituencies in the United Kingdom.  With the exception of five protected constituencies in Scotland, Wales and England, this total is to be distributed across the four parts of the United Kingdom in accordance with a mathematical formula specified in the Act. </w:t>
      </w:r>
    </w:p>
    <w:p w14:paraId="796EFBA0" w14:textId="77777777" w:rsidR="00320398" w:rsidRDefault="00320398" w:rsidP="00F55D5E">
      <w:pPr>
        <w:ind w:left="142"/>
      </w:pPr>
    </w:p>
    <w:p w14:paraId="7C56A3A6" w14:textId="7C2A9B74" w:rsidR="00EF0EE7" w:rsidRDefault="00320398" w:rsidP="009670B2">
      <w:pPr>
        <w:pStyle w:val="ListParagraph"/>
      </w:pPr>
      <w:r>
        <w:t>In accordance with that formula</w:t>
      </w:r>
      <w:r w:rsidR="00EF0EE7" w:rsidRPr="004940CF">
        <w:t xml:space="preserve">, </w:t>
      </w:r>
      <w:r>
        <w:t xml:space="preserve">and based on the electorate figures referred to above, the number of constituencies allocated to </w:t>
      </w:r>
      <w:r w:rsidR="00EF0EE7" w:rsidRPr="004940CF">
        <w:t xml:space="preserve">Northern Ireland </w:t>
      </w:r>
      <w:r>
        <w:t>for the 2023 Review is 18</w:t>
      </w:r>
      <w:r w:rsidR="00EF0EE7" w:rsidRPr="004940CF">
        <w:t xml:space="preserve">. </w:t>
      </w:r>
    </w:p>
    <w:p w14:paraId="0ECBCC22" w14:textId="77777777" w:rsidR="00320398" w:rsidRPr="00320398" w:rsidRDefault="00320398" w:rsidP="00F55D5E">
      <w:pPr>
        <w:ind w:left="142"/>
      </w:pPr>
    </w:p>
    <w:p w14:paraId="6E31DCEB" w14:textId="6E0C56F2" w:rsidR="00320398" w:rsidRPr="008649B9" w:rsidRDefault="00320398" w:rsidP="00AC6E7C">
      <w:pPr>
        <w:pStyle w:val="Heading2"/>
      </w:pPr>
      <w:bookmarkStart w:id="5" w:name="_Toc72949423"/>
      <w:r w:rsidRPr="00320398">
        <w:t>Local Government Boundaries</w:t>
      </w:r>
      <w:bookmarkEnd w:id="5"/>
    </w:p>
    <w:p w14:paraId="1524F1FC" w14:textId="01E8C9BE" w:rsidR="00320398" w:rsidRDefault="00320398" w:rsidP="009670B2">
      <w:pPr>
        <w:pStyle w:val="ListParagraph"/>
      </w:pPr>
      <w:r w:rsidRPr="00320398">
        <w:t>The Act says that the Commission may take into account “local government boundaries” as</w:t>
      </w:r>
      <w:r w:rsidR="00EA766E">
        <w:t xml:space="preserve"> it develops its proposals for P</w:t>
      </w:r>
      <w:r w:rsidRPr="00320398">
        <w:t>arliamentary constituencies. The Act defines loca</w:t>
      </w:r>
      <w:r>
        <w:t>l government boundaries in Northern Ireland</w:t>
      </w:r>
      <w:r w:rsidRPr="00320398">
        <w:t xml:space="preserve"> as the boundaries of </w:t>
      </w:r>
      <w:r>
        <w:t xml:space="preserve">wards </w:t>
      </w:r>
      <w:r w:rsidRPr="000C3E7E">
        <w:t>that</w:t>
      </w:r>
      <w:r>
        <w:t xml:space="preserve"> existed</w:t>
      </w:r>
      <w:r w:rsidRPr="00320398">
        <w:t xml:space="preserve"> or were “prospective” on the “review date”. </w:t>
      </w:r>
    </w:p>
    <w:p w14:paraId="2803F6FA" w14:textId="77777777" w:rsidR="00320398" w:rsidRDefault="00320398" w:rsidP="00F55D5E">
      <w:pPr>
        <w:ind w:left="142"/>
      </w:pPr>
    </w:p>
    <w:p w14:paraId="26BE50E3" w14:textId="2AA1BF09" w:rsidR="00320398" w:rsidRPr="004940CF" w:rsidRDefault="00320398" w:rsidP="009670B2">
      <w:pPr>
        <w:pStyle w:val="ListParagraph"/>
      </w:pPr>
      <w:r w:rsidRPr="00320398">
        <w:t>For the 2023 Review, this means the local government boundaries referred to are those that were in force on 1 December 2020 (since there were no</w:t>
      </w:r>
      <w:r>
        <w:t xml:space="preserve"> prospective </w:t>
      </w:r>
      <w:r w:rsidRPr="00610E41">
        <w:t>boundaries in Northern Ireland on that date). These local gov</w:t>
      </w:r>
      <w:r w:rsidR="000C3E7E">
        <w:t xml:space="preserve">ernment boundaries can be viewed on an </w:t>
      </w:r>
      <w:hyperlink r:id="rId15" w:history="1">
        <w:r w:rsidR="000C3E7E" w:rsidRPr="000C3E7E">
          <w:rPr>
            <w:rStyle w:val="Hyperlink"/>
            <w:rFonts w:cs="Arial"/>
          </w:rPr>
          <w:t>interactive map</w:t>
        </w:r>
      </w:hyperlink>
      <w:r w:rsidR="008E27A3">
        <w:t xml:space="preserve"> </w:t>
      </w:r>
      <w:r w:rsidR="008E27A3" w:rsidRPr="008E27A3">
        <w:t>(select “add data”</w:t>
      </w:r>
      <w:r w:rsidR="00BB6698">
        <w:t>,</w:t>
      </w:r>
      <w:r w:rsidR="008E27A3" w:rsidRPr="008E27A3">
        <w:t xml:space="preserve"> then search </w:t>
      </w:r>
      <w:r w:rsidR="008E27A3">
        <w:t>“2012</w:t>
      </w:r>
      <w:r w:rsidR="008E27A3" w:rsidRPr="008E27A3">
        <w:t xml:space="preserve"> wards”).</w:t>
      </w:r>
    </w:p>
    <w:p w14:paraId="22D11CE7" w14:textId="514766DB" w:rsidR="00EF0EE7" w:rsidRDefault="00EF0EE7" w:rsidP="003C5DC0">
      <w:pPr>
        <w:autoSpaceDE w:val="0"/>
        <w:autoSpaceDN w:val="0"/>
        <w:adjustRightInd w:val="0"/>
        <w:spacing w:line="276" w:lineRule="auto"/>
        <w:ind w:left="142"/>
        <w:jc w:val="both"/>
        <w:rPr>
          <w:rFonts w:cs="Arial"/>
          <w:b/>
        </w:rPr>
      </w:pPr>
    </w:p>
    <w:p w14:paraId="268CDCDB" w14:textId="110C3FE5" w:rsidR="00320398" w:rsidRDefault="00320398" w:rsidP="003C5DC0">
      <w:pPr>
        <w:autoSpaceDE w:val="0"/>
        <w:autoSpaceDN w:val="0"/>
        <w:adjustRightInd w:val="0"/>
        <w:spacing w:line="276" w:lineRule="auto"/>
        <w:ind w:left="142"/>
        <w:jc w:val="both"/>
        <w:rPr>
          <w:rFonts w:cs="Arial"/>
          <w:b/>
        </w:rPr>
      </w:pPr>
    </w:p>
    <w:p w14:paraId="1DFBF575" w14:textId="6A7075E7" w:rsidR="008649B9" w:rsidRDefault="008649B9">
      <w:pPr>
        <w:rPr>
          <w:rFonts w:cs="Arial"/>
          <w:b/>
        </w:rPr>
      </w:pPr>
      <w:r>
        <w:rPr>
          <w:rFonts w:cs="Arial"/>
          <w:b/>
        </w:rPr>
        <w:br w:type="page"/>
      </w:r>
    </w:p>
    <w:p w14:paraId="7D1AE929" w14:textId="1FAD9C0C" w:rsidR="008649B9" w:rsidRPr="008649B9" w:rsidRDefault="008649B9" w:rsidP="00AC6E7C">
      <w:pPr>
        <w:pStyle w:val="Heading1"/>
      </w:pPr>
      <w:bookmarkStart w:id="6" w:name="_Toc72949424"/>
      <w:bookmarkStart w:id="7" w:name="_GoBack"/>
      <w:bookmarkEnd w:id="7"/>
      <w:r w:rsidRPr="008649B9">
        <w:lastRenderedPageBreak/>
        <w:t>Chapter 3</w:t>
      </w:r>
      <w:r w:rsidR="00AC6E7C">
        <w:t xml:space="preserve">: </w:t>
      </w:r>
      <w:r w:rsidRPr="008649B9">
        <w:t>Developing Proposals – Rules and Approach</w:t>
      </w:r>
      <w:bookmarkEnd w:id="6"/>
    </w:p>
    <w:p w14:paraId="2EB78287" w14:textId="77777777" w:rsidR="008649B9" w:rsidRPr="004940CF" w:rsidRDefault="008649B9" w:rsidP="00EF0EE7">
      <w:pPr>
        <w:autoSpaceDE w:val="0"/>
        <w:autoSpaceDN w:val="0"/>
        <w:adjustRightInd w:val="0"/>
        <w:spacing w:line="276" w:lineRule="auto"/>
        <w:jc w:val="both"/>
        <w:rPr>
          <w:rFonts w:cs="Arial"/>
          <w:b/>
        </w:rPr>
      </w:pPr>
    </w:p>
    <w:p w14:paraId="2229A3F2" w14:textId="7BF701F6" w:rsidR="00EF0EE7" w:rsidRPr="0088544F" w:rsidRDefault="008649B9" w:rsidP="00AC6E7C">
      <w:pPr>
        <w:pStyle w:val="Heading2"/>
      </w:pPr>
      <w:bookmarkStart w:id="8" w:name="_Toc72949425"/>
      <w:r w:rsidRPr="0088544F">
        <w:t>Statutory Electorate Range</w:t>
      </w:r>
      <w:bookmarkEnd w:id="8"/>
    </w:p>
    <w:p w14:paraId="328339A1" w14:textId="1517F8E4" w:rsidR="00EF0EE7" w:rsidRPr="004940CF" w:rsidRDefault="008649B9" w:rsidP="009670B2">
      <w:pPr>
        <w:pStyle w:val="ListParagraph"/>
      </w:pPr>
      <w:r w:rsidRPr="008649B9">
        <w:t>Schedule 2 of the Act sets out the Ru</w:t>
      </w:r>
      <w:r w:rsidR="000A5C3E">
        <w:t>les for D</w:t>
      </w:r>
      <w:r w:rsidR="004319D5">
        <w:t xml:space="preserve">istribution of Seats, and is included here at </w:t>
      </w:r>
      <w:r w:rsidR="004319D5" w:rsidRPr="0069226A">
        <w:t>Appendix B.</w:t>
      </w:r>
    </w:p>
    <w:p w14:paraId="6F46B099" w14:textId="77777777" w:rsidR="00EF0EE7" w:rsidRPr="004940CF" w:rsidRDefault="00EF0EE7" w:rsidP="00F55D5E"/>
    <w:p w14:paraId="3AACA8A5" w14:textId="1E055F72" w:rsidR="00C44335" w:rsidRDefault="00F805EA" w:rsidP="009670B2">
      <w:pPr>
        <w:pStyle w:val="ListParagraph"/>
      </w:pPr>
      <w:r w:rsidRPr="004940CF">
        <w:t>Rule 2</w:t>
      </w:r>
      <w:r w:rsidR="00EF0EE7" w:rsidRPr="004940CF">
        <w:t xml:space="preserve"> stipulate</w:t>
      </w:r>
      <w:r w:rsidRPr="004940CF">
        <w:t>s</w:t>
      </w:r>
      <w:r w:rsidR="00EF0EE7" w:rsidRPr="004940CF">
        <w:t xml:space="preserve"> that the electorate of any constituency shall be </w:t>
      </w:r>
      <w:r w:rsidR="00852EDB">
        <w:t xml:space="preserve">no less than 95%, and no more than 105%, of the United Kingdom ‘electoral quota’. </w:t>
      </w:r>
      <w:r w:rsidR="00EF0EE7" w:rsidRPr="004940CF">
        <w:t>This</w:t>
      </w:r>
      <w:r w:rsidR="002456EC">
        <w:t xml:space="preserve"> quota</w:t>
      </w:r>
      <w:r w:rsidR="00EF0EE7" w:rsidRPr="004940CF">
        <w:t xml:space="preserve"> is the total electorate of the United Kingdom (excluding the five protected constituencies) divided by 645 (650 les</w:t>
      </w:r>
      <w:r w:rsidR="007B443E">
        <w:t>s the protected constituencies).</w:t>
      </w:r>
    </w:p>
    <w:p w14:paraId="6D0FB9CE" w14:textId="77777777" w:rsidR="007B443E" w:rsidRPr="007B443E" w:rsidRDefault="007B443E" w:rsidP="00E11B77"/>
    <w:p w14:paraId="3E3AF56C" w14:textId="63428BD2" w:rsidR="004319D5" w:rsidRPr="00A23443" w:rsidRDefault="00EF0EE7" w:rsidP="009670B2">
      <w:pPr>
        <w:pStyle w:val="ListParagraph"/>
      </w:pPr>
      <w:r w:rsidRPr="00A23443">
        <w:t>The electoral quota for the 2023 Review is</w:t>
      </w:r>
      <w:r w:rsidR="00A41243">
        <w:t>, to the nearest whole number,</w:t>
      </w:r>
      <w:r w:rsidRPr="00A23443">
        <w:t xml:space="preserve"> </w:t>
      </w:r>
      <w:r w:rsidR="001927E7" w:rsidRPr="00A23443">
        <w:t>73,393</w:t>
      </w:r>
      <w:r w:rsidR="001927E7" w:rsidRPr="00A23443">
        <w:rPr>
          <w:rStyle w:val="FootnoteReference"/>
          <w:rFonts w:cs="Arial"/>
        </w:rPr>
        <w:footnoteReference w:id="1"/>
      </w:r>
      <w:r w:rsidR="00852EDB">
        <w:t>. Applying Rule 2</w:t>
      </w:r>
      <w:r w:rsidRPr="00A23443">
        <w:t>, each constituency mu</w:t>
      </w:r>
      <w:r w:rsidR="00852EDB">
        <w:t>st have an electorate of no less</w:t>
      </w:r>
      <w:r w:rsidRPr="00A23443">
        <w:t xml:space="preserve"> than 69,724 and no more than </w:t>
      </w:r>
      <w:r w:rsidR="00BB44B6" w:rsidRPr="00A23443">
        <w:t>77,062</w:t>
      </w:r>
      <w:r w:rsidRPr="00A23443">
        <w:t>.</w:t>
      </w:r>
    </w:p>
    <w:p w14:paraId="76E60700" w14:textId="77777777" w:rsidR="004319D5" w:rsidRPr="004319D5" w:rsidRDefault="004319D5" w:rsidP="00F55D5E"/>
    <w:p w14:paraId="50FC42B5" w14:textId="34EF85A2" w:rsidR="004319D5" w:rsidRPr="004319D5" w:rsidRDefault="004319D5" w:rsidP="009670B2">
      <w:pPr>
        <w:pStyle w:val="ListParagraph"/>
      </w:pPr>
      <w:r w:rsidRPr="004319D5">
        <w:t>The Act does not require the Commission to seek to create constituencies with electorates that are as close as possible to the UK electoral quo</w:t>
      </w:r>
      <w:r w:rsidR="000145DB">
        <w:t>ta – rather, the Commission should</w:t>
      </w:r>
      <w:r w:rsidRPr="004319D5">
        <w:t xml:space="preserve"> adhere to the statutory electorate range.</w:t>
      </w:r>
    </w:p>
    <w:p w14:paraId="6D5FA29B" w14:textId="63F2D557" w:rsidR="004319D5" w:rsidRPr="004319D5" w:rsidRDefault="004319D5" w:rsidP="00F55D5E">
      <w:pPr>
        <w:ind w:left="142"/>
      </w:pPr>
    </w:p>
    <w:p w14:paraId="46047913" w14:textId="026F2B9A" w:rsidR="004319D5" w:rsidRPr="004319D5" w:rsidRDefault="004319D5" w:rsidP="00AC6E7C">
      <w:pPr>
        <w:pStyle w:val="Heading2"/>
      </w:pPr>
      <w:bookmarkStart w:id="9" w:name="_Toc72949426"/>
      <w:r w:rsidRPr="004319D5">
        <w:t>Other Factors</w:t>
      </w:r>
      <w:bookmarkEnd w:id="9"/>
    </w:p>
    <w:p w14:paraId="60302C65" w14:textId="77777777" w:rsidR="004319D5" w:rsidRPr="004940CF" w:rsidRDefault="004319D5" w:rsidP="009670B2">
      <w:pPr>
        <w:pStyle w:val="ListParagraph"/>
      </w:pPr>
      <w:r w:rsidRPr="004940CF">
        <w:t>Rule 5 specifies other factors which the Commission may take into account, “if and to such extent as they think fit”. These are:</w:t>
      </w:r>
    </w:p>
    <w:p w14:paraId="3323F802" w14:textId="73A62FB8" w:rsidR="004319D5" w:rsidRPr="004940CF" w:rsidRDefault="004319D5" w:rsidP="009670B2">
      <w:pPr>
        <w:pStyle w:val="ListParagraph"/>
        <w:numPr>
          <w:ilvl w:val="0"/>
          <w:numId w:val="1"/>
        </w:numPr>
      </w:pPr>
      <w:r w:rsidRPr="004940CF">
        <w:t xml:space="preserve">special geographical considerations, including </w:t>
      </w:r>
      <w:r w:rsidR="007A716A">
        <w:t xml:space="preserve">in particular </w:t>
      </w:r>
      <w:r w:rsidRPr="004940CF">
        <w:t>the size</w:t>
      </w:r>
      <w:r w:rsidR="001927E7">
        <w:t xml:space="preserve">, shape and accessibility of a </w:t>
      </w:r>
      <w:r w:rsidRPr="004940CF">
        <w:t>constituency</w:t>
      </w:r>
      <w:r w:rsidR="007A716A">
        <w:t>;</w:t>
      </w:r>
    </w:p>
    <w:p w14:paraId="05EE2BFD" w14:textId="32EE2697" w:rsidR="004319D5" w:rsidRPr="004940CF" w:rsidRDefault="001927E7" w:rsidP="00A64B81">
      <w:pPr>
        <w:numPr>
          <w:ilvl w:val="0"/>
          <w:numId w:val="1"/>
        </w:numPr>
        <w:tabs>
          <w:tab w:val="clear" w:pos="720"/>
          <w:tab w:val="num" w:pos="851"/>
          <w:tab w:val="left" w:pos="1276"/>
        </w:tabs>
        <w:autoSpaceDE w:val="0"/>
        <w:autoSpaceDN w:val="0"/>
        <w:adjustRightInd w:val="0"/>
        <w:spacing w:after="0" w:line="240" w:lineRule="auto"/>
        <w:ind w:left="709" w:hanging="294"/>
        <w:jc w:val="both"/>
        <w:rPr>
          <w:rFonts w:cs="Arial"/>
        </w:rPr>
      </w:pPr>
      <w:r>
        <w:rPr>
          <w:rFonts w:eastAsia="Arial Unicode MS" w:cs="Arial"/>
        </w:rPr>
        <w:t>local government</w:t>
      </w:r>
      <w:r w:rsidR="004319D5" w:rsidRPr="004940CF">
        <w:rPr>
          <w:rFonts w:eastAsia="Arial Unicode MS" w:cs="Arial"/>
        </w:rPr>
        <w:t xml:space="preserve"> boundaries which exist, or a</w:t>
      </w:r>
      <w:r>
        <w:rPr>
          <w:rFonts w:eastAsia="Arial Unicode MS" w:cs="Arial"/>
        </w:rPr>
        <w:t>re prospective, on</w:t>
      </w:r>
      <w:r w:rsidR="004319D5" w:rsidRPr="004940CF">
        <w:rPr>
          <w:rFonts w:eastAsia="Arial Unicode MS" w:cs="Arial"/>
        </w:rPr>
        <w:t xml:space="preserve"> the review date</w:t>
      </w:r>
    </w:p>
    <w:p w14:paraId="1D1A326C" w14:textId="498193FD" w:rsidR="004319D5" w:rsidRPr="004940CF" w:rsidRDefault="004319D5" w:rsidP="00A64B81">
      <w:pPr>
        <w:numPr>
          <w:ilvl w:val="0"/>
          <w:numId w:val="1"/>
        </w:numPr>
        <w:tabs>
          <w:tab w:val="clear" w:pos="720"/>
          <w:tab w:val="num" w:pos="851"/>
          <w:tab w:val="left" w:pos="1276"/>
        </w:tabs>
        <w:autoSpaceDE w:val="0"/>
        <w:autoSpaceDN w:val="0"/>
        <w:adjustRightInd w:val="0"/>
        <w:spacing w:after="0" w:line="240" w:lineRule="auto"/>
        <w:ind w:left="709" w:hanging="294"/>
        <w:jc w:val="both"/>
        <w:rPr>
          <w:rFonts w:cs="Arial"/>
        </w:rPr>
      </w:pPr>
      <w:r w:rsidRPr="004940CF">
        <w:rPr>
          <w:rFonts w:cs="Arial"/>
        </w:rPr>
        <w:t xml:space="preserve">boundaries of existing constituencies </w:t>
      </w:r>
      <w:r w:rsidR="007A716A">
        <w:rPr>
          <w:rFonts w:cs="Arial"/>
        </w:rPr>
        <w:t>;</w:t>
      </w:r>
    </w:p>
    <w:p w14:paraId="110D24D7" w14:textId="0B172B5A" w:rsidR="004319D5" w:rsidRPr="004940CF" w:rsidRDefault="007A716A" w:rsidP="00A64B81">
      <w:pPr>
        <w:numPr>
          <w:ilvl w:val="0"/>
          <w:numId w:val="1"/>
        </w:numPr>
        <w:tabs>
          <w:tab w:val="clear" w:pos="720"/>
          <w:tab w:val="num" w:pos="851"/>
          <w:tab w:val="left" w:pos="1276"/>
        </w:tabs>
        <w:autoSpaceDE w:val="0"/>
        <w:autoSpaceDN w:val="0"/>
        <w:adjustRightInd w:val="0"/>
        <w:spacing w:after="0" w:line="240" w:lineRule="auto"/>
        <w:ind w:left="709" w:hanging="294"/>
        <w:jc w:val="both"/>
        <w:rPr>
          <w:rFonts w:cs="Arial"/>
        </w:rPr>
      </w:pPr>
      <w:r>
        <w:rPr>
          <w:rFonts w:cs="Arial"/>
        </w:rPr>
        <w:t>any local ties that</w:t>
      </w:r>
      <w:r w:rsidR="004319D5" w:rsidRPr="004940CF">
        <w:rPr>
          <w:rFonts w:cs="Arial"/>
        </w:rPr>
        <w:t xml:space="preserve"> would be broken by changes in constituencies</w:t>
      </w:r>
      <w:r>
        <w:rPr>
          <w:rFonts w:cs="Arial"/>
        </w:rPr>
        <w:t>;</w:t>
      </w:r>
    </w:p>
    <w:p w14:paraId="404B0A25" w14:textId="12E6D864" w:rsidR="004319D5" w:rsidRPr="004940CF" w:rsidRDefault="004319D5" w:rsidP="00A64B81">
      <w:pPr>
        <w:numPr>
          <w:ilvl w:val="0"/>
          <w:numId w:val="1"/>
        </w:numPr>
        <w:tabs>
          <w:tab w:val="clear" w:pos="720"/>
          <w:tab w:val="num" w:pos="851"/>
          <w:tab w:val="left" w:pos="1276"/>
        </w:tabs>
        <w:autoSpaceDE w:val="0"/>
        <w:autoSpaceDN w:val="0"/>
        <w:adjustRightInd w:val="0"/>
        <w:spacing w:after="0" w:line="240" w:lineRule="auto"/>
        <w:ind w:left="709" w:hanging="294"/>
        <w:jc w:val="both"/>
        <w:rPr>
          <w:rFonts w:cs="Arial"/>
          <w:i/>
        </w:rPr>
      </w:pPr>
      <w:r w:rsidRPr="004940CF">
        <w:rPr>
          <w:rFonts w:cs="Arial"/>
        </w:rPr>
        <w:t>the inconvenience</w:t>
      </w:r>
      <w:r w:rsidR="007A716A">
        <w:rPr>
          <w:rFonts w:cs="Arial"/>
        </w:rPr>
        <w:t>s</w:t>
      </w:r>
      <w:r w:rsidRPr="004940CF">
        <w:rPr>
          <w:rFonts w:cs="Arial"/>
        </w:rPr>
        <w:t xml:space="preserve"> attendant on such changes</w:t>
      </w:r>
      <w:r w:rsidR="007A716A">
        <w:rPr>
          <w:rFonts w:cs="Arial"/>
        </w:rPr>
        <w:t>.</w:t>
      </w:r>
    </w:p>
    <w:p w14:paraId="19D11692" w14:textId="77777777" w:rsidR="004319D5" w:rsidRPr="004940CF" w:rsidRDefault="004319D5" w:rsidP="00F55D5E"/>
    <w:p w14:paraId="54F7FF40" w14:textId="18DB2FAD" w:rsidR="004319D5" w:rsidRPr="004319D5" w:rsidRDefault="004319D5" w:rsidP="009670B2">
      <w:pPr>
        <w:pStyle w:val="ListParagraph"/>
        <w:rPr>
          <w:i/>
        </w:rPr>
      </w:pPr>
      <w:r w:rsidRPr="00E11B77">
        <w:t>The Commission may at its discretion decide to take some or all o</w:t>
      </w:r>
      <w:r w:rsidR="00354774">
        <w:t>r</w:t>
      </w:r>
      <w:r w:rsidRPr="00E11B77">
        <w:t xml:space="preserve"> none of these factors</w:t>
      </w:r>
      <w:r>
        <w:t xml:space="preserve"> </w:t>
      </w:r>
      <w:r w:rsidR="001927E7">
        <w:t xml:space="preserve">into account. </w:t>
      </w:r>
      <w:r w:rsidR="004452CB">
        <w:t xml:space="preserve"> Rule 5 does not require the Commission </w:t>
      </w:r>
      <w:r w:rsidRPr="004940CF">
        <w:t>to tak</w:t>
      </w:r>
      <w:r w:rsidR="004452CB">
        <w:t>e these factors into account, nor does it restrict the Commission</w:t>
      </w:r>
      <w:r w:rsidRPr="004940CF">
        <w:t xml:space="preserve"> to only taking these factors i</w:t>
      </w:r>
      <w:r w:rsidR="004452CB">
        <w:t>nto account, if it</w:t>
      </w:r>
      <w:r w:rsidRPr="004940CF">
        <w:t xml:space="preserve"> consider</w:t>
      </w:r>
      <w:r w:rsidR="004452CB">
        <w:t>s</w:t>
      </w:r>
      <w:r w:rsidRPr="004940CF">
        <w:t xml:space="preserve"> other factors to be relevant</w:t>
      </w:r>
      <w:r w:rsidR="004452CB">
        <w:t xml:space="preserve"> to the exercise of its powers</w:t>
      </w:r>
      <w:r w:rsidRPr="004940CF">
        <w:t>.</w:t>
      </w:r>
    </w:p>
    <w:p w14:paraId="5622A616" w14:textId="77777777" w:rsidR="004319D5" w:rsidRPr="004319D5" w:rsidRDefault="004319D5" w:rsidP="00F55D5E"/>
    <w:p w14:paraId="47B9D8D5" w14:textId="595D8D31" w:rsidR="00381D5F" w:rsidRPr="00960D49" w:rsidRDefault="004319D5" w:rsidP="00960D49">
      <w:pPr>
        <w:pStyle w:val="ListParagraph"/>
        <w:rPr>
          <w:i/>
        </w:rPr>
      </w:pPr>
      <w:r w:rsidRPr="004319D5">
        <w:t xml:space="preserve">Rule 7 </w:t>
      </w:r>
      <w:r w:rsidR="009C0CA1">
        <w:t>only applies to</w:t>
      </w:r>
      <w:r w:rsidRPr="004319D5">
        <w:t xml:space="preserve"> Northern Ireland. Where the Commission feel</w:t>
      </w:r>
      <w:r w:rsidR="00376DCC">
        <w:t>s</w:t>
      </w:r>
      <w:r w:rsidRPr="004319D5">
        <w:t xml:space="preserve"> that having to apply Rule 2</w:t>
      </w:r>
      <w:r w:rsidR="00376DCC">
        <w:t xml:space="preserve"> would unreasonably impair its</w:t>
      </w:r>
      <w:r w:rsidRPr="004319D5">
        <w:t xml:space="preserve"> ability to take into account the facto</w:t>
      </w:r>
      <w:r w:rsidR="001927E7">
        <w:t>rs set out in Rule 5</w:t>
      </w:r>
      <w:r w:rsidRPr="004319D5">
        <w:t>, or to submit</w:t>
      </w:r>
      <w:r w:rsidR="00B8703D">
        <w:t xml:space="preserve"> a report on time, Rule 7 can be applied and </w:t>
      </w:r>
      <w:r w:rsidR="003F625D">
        <w:t xml:space="preserve">one or more </w:t>
      </w:r>
      <w:r w:rsidR="00B8703D">
        <w:lastRenderedPageBreak/>
        <w:t>constituencies</w:t>
      </w:r>
      <w:r w:rsidRPr="004319D5">
        <w:t xml:space="preserve"> </w:t>
      </w:r>
      <w:r w:rsidR="006D031D">
        <w:t>r</w:t>
      </w:r>
      <w:r w:rsidR="00B8703D">
        <w:t>ecommended</w:t>
      </w:r>
      <w:r w:rsidRPr="004319D5">
        <w:t xml:space="preserve"> which fall slightly outside the </w:t>
      </w:r>
      <w:r w:rsidR="006E520A">
        <w:t xml:space="preserve">Rule 2 </w:t>
      </w:r>
      <w:r w:rsidRPr="004319D5">
        <w:t>range, in accordance with a prescribed formula.</w:t>
      </w:r>
      <w:r w:rsidR="00381D5F" w:rsidRPr="00381D5F">
        <w:t xml:space="preserve"> </w:t>
      </w:r>
      <w:r w:rsidR="00960D49" w:rsidRPr="004319D5">
        <w:t xml:space="preserve">For the 2023 Review this </w:t>
      </w:r>
      <w:r w:rsidR="00960D49" w:rsidRPr="00895902">
        <w:t xml:space="preserve">means that the Commission could propose one or more </w:t>
      </w:r>
      <w:r w:rsidR="009326BB" w:rsidRPr="00895902">
        <w:t>constituencies of between 68,314</w:t>
      </w:r>
      <w:r w:rsidR="009326BB" w:rsidRPr="00895902">
        <w:rPr>
          <w:rStyle w:val="FootnoteReference"/>
        </w:rPr>
        <w:footnoteReference w:id="2"/>
      </w:r>
      <w:r w:rsidR="00960D49" w:rsidRPr="00895902">
        <w:t xml:space="preserve"> and 77,062 electors</w:t>
      </w:r>
      <w:r w:rsidR="00960D49" w:rsidRPr="004319D5">
        <w:t>.</w:t>
      </w:r>
    </w:p>
    <w:p w14:paraId="4FED5D01" w14:textId="77777777" w:rsidR="00381D5F" w:rsidRDefault="00381D5F" w:rsidP="00381D5F">
      <w:pPr>
        <w:pStyle w:val="ListParagraph"/>
        <w:numPr>
          <w:ilvl w:val="0"/>
          <w:numId w:val="0"/>
        </w:numPr>
      </w:pPr>
    </w:p>
    <w:p w14:paraId="33D5BDDC" w14:textId="3FC050ED" w:rsidR="00381D5F" w:rsidRPr="00381D5F" w:rsidRDefault="00381D5F" w:rsidP="00381D5F">
      <w:pPr>
        <w:pStyle w:val="ListParagraph"/>
        <w:rPr>
          <w:i/>
        </w:rPr>
      </w:pPr>
      <w:r w:rsidRPr="00CF6AC7">
        <w:t>The Act does not define what “unreasonably impairs” means. The Commission will consider that it is unreasonably impaired when it is prevented contrary to good sense from giving weight to any or all of the Rule 5 factors by the restrictions on electoral size required by Rule 2.</w:t>
      </w:r>
    </w:p>
    <w:p w14:paraId="2C466FC0" w14:textId="11C28773" w:rsidR="00CF6AC7" w:rsidRPr="00CF6AC7" w:rsidRDefault="00CF6AC7" w:rsidP="00960D49">
      <w:pPr>
        <w:rPr>
          <w:rFonts w:cs="Arial"/>
        </w:rPr>
      </w:pPr>
    </w:p>
    <w:p w14:paraId="1BEC95BA" w14:textId="40AD475A" w:rsidR="00381D5F" w:rsidRPr="00381D5F" w:rsidRDefault="00CF6AC7" w:rsidP="00381D5F">
      <w:pPr>
        <w:pStyle w:val="Heading2"/>
      </w:pPr>
      <w:bookmarkStart w:id="10" w:name="_Toc72949427"/>
      <w:r w:rsidRPr="00CF6AC7">
        <w:t>Approach</w:t>
      </w:r>
      <w:bookmarkEnd w:id="10"/>
    </w:p>
    <w:p w14:paraId="5E01B362" w14:textId="73A576AE" w:rsidR="00EF7CC5" w:rsidRDefault="00381D5F" w:rsidP="00F55D5E">
      <w:pPr>
        <w:pStyle w:val="ListParagraph"/>
      </w:pPr>
      <w:r w:rsidRPr="00381D5F">
        <w:t>The Commission considers that the boundaries of existing constituencies</w:t>
      </w:r>
      <w:r w:rsidR="003C2F13">
        <w:t xml:space="preserve"> and local government boundaries</w:t>
      </w:r>
      <w:r w:rsidR="00813482">
        <w:t xml:space="preserve"> (i.e. wards)</w:t>
      </w:r>
      <w:r w:rsidRPr="00381D5F">
        <w:t>, being clear and certain, provide an appropriate starting point for its work.</w:t>
      </w:r>
      <w:r w:rsidR="00104704">
        <w:t xml:space="preserve"> That work will also</w:t>
      </w:r>
      <w:r w:rsidR="004F4C1A">
        <w:t xml:space="preserve"> be informed by other matters, </w:t>
      </w:r>
      <w:r w:rsidRPr="00381D5F">
        <w:t>including those les</w:t>
      </w:r>
      <w:r w:rsidR="004F4C1A">
        <w:t>s readily capable of definition,</w:t>
      </w:r>
      <w:r w:rsidRPr="00381D5F">
        <w:t xml:space="preserve"> in the course of the consultation process.</w:t>
      </w:r>
    </w:p>
    <w:p w14:paraId="1902803F" w14:textId="77777777" w:rsidR="00381D5F" w:rsidRPr="00381D5F" w:rsidRDefault="00381D5F" w:rsidP="00381D5F"/>
    <w:p w14:paraId="10E6109F" w14:textId="74EA4F63" w:rsidR="001C208B" w:rsidRPr="00381D5F" w:rsidRDefault="00381D5F" w:rsidP="009670B2">
      <w:pPr>
        <w:pStyle w:val="ListParagraph"/>
        <w:rPr>
          <w:i/>
        </w:rPr>
      </w:pPr>
      <w:r>
        <w:t>With regards to taking existing constituency boundaries as an appropriate starting points, this</w:t>
      </w:r>
      <w:r w:rsidR="001C208B" w:rsidRPr="004940CF">
        <w:t xml:space="preserve"> does not mean that an existing constituency should be considered to be protected from change simply because its electorate falls within the statutory electorate range, as the </w:t>
      </w:r>
      <w:r w:rsidR="00580310" w:rsidRPr="004940CF">
        <w:t>Commission must ensure that all constituencies in</w:t>
      </w:r>
      <w:r w:rsidR="001C208B" w:rsidRPr="004940CF">
        <w:t xml:space="preserve"> Northern Ireland </w:t>
      </w:r>
      <w:r w:rsidR="009D4B82" w:rsidRPr="004940CF">
        <w:t>are in line</w:t>
      </w:r>
      <w:r w:rsidR="001C208B" w:rsidRPr="004940CF">
        <w:t xml:space="preserve"> with the requirements of the Act.</w:t>
      </w:r>
    </w:p>
    <w:p w14:paraId="6518634D" w14:textId="77777777" w:rsidR="001C208B" w:rsidRPr="004940CF" w:rsidRDefault="001C208B" w:rsidP="00F55D5E"/>
    <w:p w14:paraId="040F4938" w14:textId="1CCEB6E7" w:rsidR="00F45ABE" w:rsidRPr="00381D5F" w:rsidRDefault="00381D5F" w:rsidP="00F45ABE">
      <w:pPr>
        <w:pStyle w:val="ListParagraph"/>
        <w:rPr>
          <w:i/>
        </w:rPr>
      </w:pPr>
      <w:r>
        <w:t>With regards to taking existing ward boundaries as an appropriate starting point,</w:t>
      </w:r>
      <w:r w:rsidR="00F45ABE">
        <w:t xml:space="preserve"> this may not necessarily mean that some existing wards may not be split across constituencies, given the statutory requirements within which </w:t>
      </w:r>
      <w:r w:rsidR="00F45ABE" w:rsidRPr="004940CF">
        <w:t xml:space="preserve">the Commission </w:t>
      </w:r>
      <w:r w:rsidR="00F45ABE">
        <w:t>must work</w:t>
      </w:r>
      <w:r w:rsidR="00F45ABE" w:rsidRPr="004940CF">
        <w:t>.</w:t>
      </w:r>
    </w:p>
    <w:p w14:paraId="49D00058" w14:textId="52AC7DBB" w:rsidR="00F0402D" w:rsidRPr="004940CF" w:rsidRDefault="00F0402D" w:rsidP="00E11B77">
      <w:pPr>
        <w:rPr>
          <w:rFonts w:cs="Arial"/>
          <w:i/>
        </w:rPr>
      </w:pPr>
    </w:p>
    <w:p w14:paraId="2CD6E843" w14:textId="2AF5A737" w:rsidR="000F4E86" w:rsidRPr="003C2F13" w:rsidRDefault="00F0402D" w:rsidP="003C2F13">
      <w:pPr>
        <w:pStyle w:val="ListParagraph"/>
        <w:rPr>
          <w:i/>
        </w:rPr>
      </w:pPr>
      <w:r w:rsidRPr="003C2F13">
        <w:t>The Commission</w:t>
      </w:r>
      <w:r w:rsidR="003C2F13">
        <w:t>’s understanding of</w:t>
      </w:r>
      <w:r w:rsidRPr="003C2F13">
        <w:t xml:space="preserve"> “special geographical considerations” </w:t>
      </w:r>
      <w:r w:rsidR="003C2F13">
        <w:t xml:space="preserve">is that these will </w:t>
      </w:r>
      <w:r w:rsidRPr="003C2F13">
        <w:t xml:space="preserve">primarily relate to physical </w:t>
      </w:r>
      <w:r w:rsidR="00742699" w:rsidRPr="003C2F13">
        <w:t>features</w:t>
      </w:r>
      <w:r w:rsidRPr="003C2F13">
        <w:t xml:space="preserve"> such as </w:t>
      </w:r>
      <w:r w:rsidR="00AE107A" w:rsidRPr="003C2F13">
        <w:t>mountains, lakes, coastlines, major roads, major rivers and built-up areas</w:t>
      </w:r>
      <w:r w:rsidR="00742699" w:rsidRPr="003C2F13">
        <w:t>.</w:t>
      </w:r>
      <w:r w:rsidR="003C2F13">
        <w:rPr>
          <w:i/>
        </w:rPr>
        <w:t xml:space="preserve"> </w:t>
      </w:r>
      <w:r w:rsidRPr="003C2F13">
        <w:t xml:space="preserve">In relation to the “size, shape and accessibility of a constituency”, the Commission </w:t>
      </w:r>
      <w:r w:rsidR="003C2F13">
        <w:t xml:space="preserve">understands this to relate to </w:t>
      </w:r>
      <w:r w:rsidRPr="003C2F13">
        <w:t>constituencies</w:t>
      </w:r>
      <w:r w:rsidR="008E1012" w:rsidRPr="003C2F13">
        <w:t xml:space="preserve"> that do not contain detached parts, and that are</w:t>
      </w:r>
      <w:r w:rsidRPr="003C2F13">
        <w:t xml:space="preserve"> </w:t>
      </w:r>
      <w:r w:rsidR="00684D96" w:rsidRPr="003C2F13">
        <w:t xml:space="preserve">made up of local government </w:t>
      </w:r>
      <w:r w:rsidRPr="003C2F13">
        <w:t>wards th</w:t>
      </w:r>
      <w:r w:rsidR="008E1012" w:rsidRPr="003C2F13">
        <w:t>at are adjacent to each other.</w:t>
      </w:r>
    </w:p>
    <w:p w14:paraId="4CDF224A" w14:textId="77777777" w:rsidR="000F4E86" w:rsidRPr="003C2F13" w:rsidRDefault="000F4E86" w:rsidP="00F55D5E"/>
    <w:p w14:paraId="00ABEC40" w14:textId="00B48A61" w:rsidR="000F4E86" w:rsidRPr="00CD637A" w:rsidRDefault="000F4E86" w:rsidP="00CD637A">
      <w:pPr>
        <w:pStyle w:val="ListParagraph"/>
        <w:rPr>
          <w:i/>
        </w:rPr>
      </w:pPr>
      <w:r w:rsidRPr="003C2F13">
        <w:t>“Local ties</w:t>
      </w:r>
      <w:r w:rsidR="00CD637A">
        <w:t xml:space="preserve"> which would be broken by changes in constituencies</w:t>
      </w:r>
      <w:r w:rsidR="00FF3EF3">
        <w:t xml:space="preserve">” is </w:t>
      </w:r>
      <w:r w:rsidRPr="003C2F13">
        <w:t>not defined in the legislation. The Commissio</w:t>
      </w:r>
      <w:r w:rsidR="003C2F13">
        <w:t>n understands</w:t>
      </w:r>
      <w:r w:rsidR="00EA0AAE" w:rsidRPr="003C2F13">
        <w:t xml:space="preserve"> this term to primarily relate to</w:t>
      </w:r>
      <w:r w:rsidRPr="003C2F13">
        <w:t xml:space="preserve"> patterns of commuting, shopping, school attendance, the organisation of health and other public services, and</w:t>
      </w:r>
      <w:r w:rsidR="00614658" w:rsidRPr="003C2F13">
        <w:t xml:space="preserve"> transport routes, but this definition is likely to be more fully informed by the consultation process.</w:t>
      </w:r>
      <w:r w:rsidR="00CD637A">
        <w:rPr>
          <w:i/>
        </w:rPr>
        <w:t xml:space="preserve"> </w:t>
      </w:r>
      <w:r w:rsidR="000D3681">
        <w:t>The Commission understands “</w:t>
      </w:r>
      <w:r w:rsidR="00372FA8" w:rsidRPr="003C2F13">
        <w:t>the inconvenience</w:t>
      </w:r>
      <w:r w:rsidR="000D3681">
        <w:t>s</w:t>
      </w:r>
      <w:r w:rsidR="00372FA8" w:rsidRPr="003C2F13">
        <w:t xml:space="preserve"> </w:t>
      </w:r>
      <w:r w:rsidR="00372FA8" w:rsidRPr="003C2F13">
        <w:lastRenderedPageBreak/>
        <w:t>attendant</w:t>
      </w:r>
      <w:r w:rsidR="000D3681">
        <w:t xml:space="preserve"> on such</w:t>
      </w:r>
      <w:r w:rsidR="00372FA8" w:rsidRPr="003C2F13">
        <w:t xml:space="preserve"> changes</w:t>
      </w:r>
      <w:r w:rsidR="000D3681">
        <w:t xml:space="preserve">” to be a factor that will be informed by the consultation process. </w:t>
      </w:r>
    </w:p>
    <w:p w14:paraId="134E323C" w14:textId="77777777" w:rsidR="00CD637A" w:rsidRPr="00CD637A" w:rsidRDefault="00CD637A" w:rsidP="00CD637A">
      <w:pPr>
        <w:pStyle w:val="ListParagraph"/>
        <w:numPr>
          <w:ilvl w:val="0"/>
          <w:numId w:val="0"/>
        </w:numPr>
        <w:rPr>
          <w:i/>
        </w:rPr>
      </w:pPr>
    </w:p>
    <w:p w14:paraId="3820E002" w14:textId="21770E11" w:rsidR="001F46A3" w:rsidRPr="004319D5" w:rsidRDefault="001F46A3" w:rsidP="00AC6E7C">
      <w:pPr>
        <w:pStyle w:val="Heading2"/>
      </w:pPr>
      <w:bookmarkStart w:id="11" w:name="_Toc72949428"/>
      <w:r w:rsidRPr="004940CF">
        <w:t>Factors the Commission will not consider</w:t>
      </w:r>
      <w:bookmarkEnd w:id="11"/>
      <w:r w:rsidRPr="004940CF">
        <w:t xml:space="preserve"> </w:t>
      </w:r>
    </w:p>
    <w:p w14:paraId="50992C80" w14:textId="1A0A91F3" w:rsidR="001F46A3" w:rsidRPr="00F43E0E" w:rsidRDefault="00B13395" w:rsidP="00F43E0E">
      <w:pPr>
        <w:pStyle w:val="ListParagraph"/>
        <w:rPr>
          <w:i/>
        </w:rPr>
      </w:pPr>
      <w:r w:rsidRPr="004940CF">
        <w:t>As an independent and impartial body, it would not be appropriate for the Commission to take into account</w:t>
      </w:r>
      <w:r w:rsidR="00237351" w:rsidRPr="004940CF">
        <w:t xml:space="preserve"> existing or future voting patterns, or possible impacts on future election results.</w:t>
      </w:r>
      <w:r w:rsidR="00F0402D" w:rsidRPr="004940CF">
        <w:t xml:space="preserve"> </w:t>
      </w:r>
    </w:p>
    <w:p w14:paraId="228DDF96" w14:textId="77777777" w:rsidR="00F43E0E" w:rsidRPr="00F43E0E" w:rsidRDefault="00F43E0E" w:rsidP="00F43E0E">
      <w:pPr>
        <w:pStyle w:val="ListParagraph"/>
        <w:numPr>
          <w:ilvl w:val="0"/>
          <w:numId w:val="0"/>
        </w:numPr>
        <w:rPr>
          <w:i/>
        </w:rPr>
      </w:pPr>
    </w:p>
    <w:p w14:paraId="2E4B0E7B" w14:textId="6BEAAFCA" w:rsidR="001F46A3" w:rsidRPr="004940CF" w:rsidRDefault="001F46A3" w:rsidP="00AC6E7C">
      <w:pPr>
        <w:pStyle w:val="Heading2"/>
      </w:pPr>
      <w:bookmarkStart w:id="12" w:name="_Toc72949429"/>
      <w:r w:rsidRPr="004940CF">
        <w:t>Naming and designation of constituencies</w:t>
      </w:r>
      <w:bookmarkEnd w:id="12"/>
    </w:p>
    <w:p w14:paraId="3B9B933A" w14:textId="7F87ACC7" w:rsidR="001F46A3" w:rsidRPr="004940CF" w:rsidRDefault="00EF0EE7" w:rsidP="009670B2">
      <w:pPr>
        <w:pStyle w:val="ListParagraph"/>
        <w:rPr>
          <w:i/>
        </w:rPr>
      </w:pPr>
      <w:r w:rsidRPr="004940CF">
        <w:t>The Commission is required to propose a name for each of the 18 co</w:t>
      </w:r>
      <w:r w:rsidR="00290FE9">
        <w:t>nstituencies which it recommends</w:t>
      </w:r>
      <w:r w:rsidRPr="004940CF">
        <w:t xml:space="preserve">. The law offers no guidance on this point. </w:t>
      </w:r>
      <w:r w:rsidR="00A2563E">
        <w:t>The Commission’s approach to</w:t>
      </w:r>
      <w:r w:rsidR="00447FBE" w:rsidRPr="004940CF">
        <w:t xml:space="preserve"> the namin</w:t>
      </w:r>
      <w:r w:rsidR="00D9731E">
        <w:t>g of constituencies is that, if a constituency</w:t>
      </w:r>
      <w:r w:rsidR="00447FBE" w:rsidRPr="004940CF">
        <w:t xml:space="preserve"> remain</w:t>
      </w:r>
      <w:r w:rsidR="00D9731E">
        <w:t>s</w:t>
      </w:r>
      <w:r w:rsidR="00447FBE" w:rsidRPr="004940CF">
        <w:t xml:space="preserve"> largely unchanged, the existing constituency name should usually be kept. </w:t>
      </w:r>
    </w:p>
    <w:p w14:paraId="5A6BE180" w14:textId="77777777" w:rsidR="001F46A3" w:rsidRPr="004940CF" w:rsidRDefault="001F46A3" w:rsidP="00F55D5E"/>
    <w:p w14:paraId="037E2C3F" w14:textId="1AE850C0" w:rsidR="008474A7" w:rsidRDefault="00447FBE" w:rsidP="008474A7">
      <w:pPr>
        <w:pStyle w:val="ListParagraph"/>
        <w:rPr>
          <w:i/>
        </w:rPr>
      </w:pPr>
      <w:r w:rsidRPr="006C2461">
        <w:t xml:space="preserve">Should </w:t>
      </w:r>
      <w:r w:rsidR="001F5A5F" w:rsidRPr="006C2461">
        <w:t xml:space="preserve">proposed changes mean </w:t>
      </w:r>
      <w:r w:rsidR="007742B4" w:rsidRPr="006C2461">
        <w:t>retaining</w:t>
      </w:r>
      <w:r w:rsidR="007742B4">
        <w:t xml:space="preserve"> the existing name </w:t>
      </w:r>
      <w:r w:rsidR="001F5A5F">
        <w:t xml:space="preserve">would </w:t>
      </w:r>
      <w:r w:rsidR="007742B4">
        <w:t>not be appropriate</w:t>
      </w:r>
      <w:r w:rsidRPr="004940CF">
        <w:t>, the Commission</w:t>
      </w:r>
      <w:r w:rsidR="00A2563E">
        <w:t>’s approach</w:t>
      </w:r>
      <w:r w:rsidR="00324822">
        <w:t xml:space="preserve"> will</w:t>
      </w:r>
      <w:r w:rsidR="00A2563E">
        <w:t xml:space="preserve"> be to</w:t>
      </w:r>
      <w:r w:rsidR="00D832EC">
        <w:t xml:space="preserve"> </w:t>
      </w:r>
      <w:r w:rsidR="00EF0EE7" w:rsidRPr="004940CF">
        <w:t>apply the established convention of naming constituencies after counties qualified by compass points (for example ‘</w:t>
      </w:r>
      <w:r w:rsidRPr="004940CF">
        <w:t>West Tyrone’</w:t>
      </w:r>
      <w:r w:rsidR="00EF0EE7" w:rsidRPr="004940CF">
        <w:t>)</w:t>
      </w:r>
      <w:r w:rsidR="007742B4">
        <w:t xml:space="preserve"> or after </w:t>
      </w:r>
      <w:r w:rsidRPr="004940CF">
        <w:t>special geographical considerations (for example ‘Upper Bann’)</w:t>
      </w:r>
      <w:r w:rsidR="007742B4">
        <w:t>.</w:t>
      </w:r>
    </w:p>
    <w:p w14:paraId="74F616D9" w14:textId="77777777" w:rsidR="008474A7" w:rsidRDefault="008474A7" w:rsidP="008474A7">
      <w:pPr>
        <w:pStyle w:val="ListParagraph"/>
        <w:numPr>
          <w:ilvl w:val="0"/>
          <w:numId w:val="0"/>
        </w:numPr>
      </w:pPr>
    </w:p>
    <w:p w14:paraId="055F9222" w14:textId="5D6EA6BF" w:rsidR="004319D5" w:rsidRPr="008474A7" w:rsidRDefault="00EF0EE7" w:rsidP="008474A7">
      <w:pPr>
        <w:pStyle w:val="ListParagraph"/>
        <w:rPr>
          <w:i/>
        </w:rPr>
      </w:pPr>
      <w:r w:rsidRPr="004940CF">
        <w:t>The Commission is also required to designate each of the constituencies a</w:t>
      </w:r>
      <w:r w:rsidR="00F805EA" w:rsidRPr="004940CF">
        <w:t>s either ‘county’ or ‘borough’</w:t>
      </w:r>
      <w:r w:rsidR="00A2563E">
        <w:t xml:space="preserve"> constituencies</w:t>
      </w:r>
      <w:r w:rsidR="00F805EA" w:rsidRPr="004940CF">
        <w:t xml:space="preserve">. </w:t>
      </w:r>
      <w:r w:rsidR="00D125A6" w:rsidRPr="008474A7">
        <w:rPr>
          <w:rFonts w:eastAsiaTheme="minorHAnsi" w:cstheme="minorBidi"/>
          <w:szCs w:val="22"/>
          <w:lang w:eastAsia="en-US"/>
        </w:rPr>
        <w:t>This designation determines the level of candidates’ expenses allow</w:t>
      </w:r>
      <w:r w:rsidR="00D125A6" w:rsidRPr="008474A7">
        <w:t>a</w:t>
      </w:r>
      <w:r w:rsidR="00D125A6" w:rsidRPr="008474A7">
        <w:rPr>
          <w:rFonts w:eastAsiaTheme="minorHAnsi" w:cstheme="minorBidi"/>
          <w:szCs w:val="22"/>
          <w:lang w:eastAsia="en-US"/>
        </w:rPr>
        <w:t>ble at elections</w:t>
      </w:r>
      <w:r w:rsidR="00E334AF">
        <w:rPr>
          <w:rFonts w:eastAsiaTheme="minorHAnsi" w:cstheme="minorBidi"/>
          <w:szCs w:val="22"/>
          <w:lang w:eastAsia="en-US"/>
        </w:rPr>
        <w:t>.</w:t>
      </w:r>
      <w:r w:rsidR="00D125A6">
        <w:t xml:space="preserve"> </w:t>
      </w:r>
      <w:r w:rsidR="00447FBE" w:rsidRPr="004940CF">
        <w:t xml:space="preserve">The Commission considers that, as a general principle, where constituencies contain more than a small rural element they should normally be designated as county constituencies. Otherwise, they should be designated as borough constituencies. </w:t>
      </w:r>
    </w:p>
    <w:p w14:paraId="47938EF7" w14:textId="02E08003" w:rsidR="004319D5" w:rsidRDefault="004319D5" w:rsidP="00F55D5E">
      <w:pPr>
        <w:rPr>
          <w:rFonts w:cs="Arial"/>
          <w:b/>
          <w:i/>
        </w:rPr>
      </w:pPr>
      <w:r>
        <w:rPr>
          <w:rFonts w:cs="Arial"/>
          <w:b/>
          <w:i/>
        </w:rPr>
        <w:br w:type="page"/>
      </w:r>
    </w:p>
    <w:p w14:paraId="44AF8D6F" w14:textId="567C4029" w:rsidR="00497FD2" w:rsidRDefault="004319D5" w:rsidP="00AC6E7C">
      <w:pPr>
        <w:pStyle w:val="Heading1"/>
      </w:pPr>
      <w:bookmarkStart w:id="13" w:name="_Toc72949430"/>
      <w:r w:rsidRPr="004319D5">
        <w:lastRenderedPageBreak/>
        <w:t>Chapter 4</w:t>
      </w:r>
      <w:r w:rsidR="00AC6E7C">
        <w:t xml:space="preserve">: </w:t>
      </w:r>
      <w:r w:rsidRPr="004319D5">
        <w:t>The Review Process</w:t>
      </w:r>
      <w:bookmarkStart w:id="14" w:name="_Toc301869658"/>
      <w:bookmarkEnd w:id="13"/>
    </w:p>
    <w:p w14:paraId="5422477E" w14:textId="77777777" w:rsidR="00B424A0" w:rsidRPr="00B424A0" w:rsidRDefault="00B424A0" w:rsidP="00B424A0"/>
    <w:p w14:paraId="25F5A3AD" w14:textId="4D5A799C" w:rsidR="00EF0EE7" w:rsidRDefault="00875322" w:rsidP="00AC6E7C">
      <w:pPr>
        <w:pStyle w:val="Heading2"/>
      </w:pPr>
      <w:bookmarkStart w:id="15" w:name="_Toc72949431"/>
      <w:bookmarkEnd w:id="14"/>
      <w:r>
        <w:t>Overview of the Process</w:t>
      </w:r>
      <w:bookmarkEnd w:id="15"/>
    </w:p>
    <w:p w14:paraId="4ACAB856" w14:textId="27C4AE2C" w:rsidR="005A4E14" w:rsidRDefault="005A4E14" w:rsidP="009670B2">
      <w:pPr>
        <w:pStyle w:val="ListParagraph"/>
      </w:pPr>
      <w:r w:rsidRPr="005A4E14">
        <w:t>The 2023 Review will follow a detaile</w:t>
      </w:r>
      <w:r w:rsidR="00552E49">
        <w:t xml:space="preserve">d process laid down by </w:t>
      </w:r>
      <w:r w:rsidR="001F2A75">
        <w:t>the Act; a summary of the process</w:t>
      </w:r>
      <w:r w:rsidR="00552E49">
        <w:t xml:space="preserve"> is at Appendix C. The</w:t>
      </w:r>
      <w:r w:rsidRPr="005A4E14">
        <w:t xml:space="preserve"> process involves the development of proposals by the Commission, followed by opportunities for individuals and organisations to submit written representations and to make oral representations at pub</w:t>
      </w:r>
      <w:r>
        <w:t>lic hearings.</w:t>
      </w:r>
      <w:r w:rsidR="00552E49">
        <w:t xml:space="preserve"> </w:t>
      </w:r>
    </w:p>
    <w:p w14:paraId="73097AD0" w14:textId="77777777" w:rsidR="005A4E14" w:rsidRDefault="005A4E14" w:rsidP="00F55D5E"/>
    <w:p w14:paraId="0E5473A7" w14:textId="64C85043" w:rsidR="005A4E14" w:rsidRDefault="005A4E14" w:rsidP="009670B2">
      <w:pPr>
        <w:pStyle w:val="ListParagraph"/>
      </w:pPr>
      <w:r w:rsidRPr="005A4E14">
        <w:t>At the conclusion of the process, the Commission will prepare a final report cont</w:t>
      </w:r>
      <w:r w:rsidR="00D95239">
        <w:t>aining its recommendations for P</w:t>
      </w:r>
      <w:r w:rsidRPr="005A4E14">
        <w:t>arli</w:t>
      </w:r>
      <w:r>
        <w:t>amentary constituencies in Northern Ireland</w:t>
      </w:r>
      <w:r w:rsidRPr="005A4E14">
        <w:t xml:space="preserve">. Those recommendations </w:t>
      </w:r>
      <w:r>
        <w:t xml:space="preserve">are then submitted to the Speaker of the House, who lays them before Parliament, and </w:t>
      </w:r>
      <w:r w:rsidR="000D7F74">
        <w:t xml:space="preserve">are </w:t>
      </w:r>
      <w:r>
        <w:t>published.</w:t>
      </w:r>
    </w:p>
    <w:p w14:paraId="582BEA2C" w14:textId="57F45C2C" w:rsidR="005A4E14" w:rsidRPr="005A4E14" w:rsidRDefault="005A4E14" w:rsidP="00F55D5E">
      <w:pPr>
        <w:autoSpaceDE w:val="0"/>
        <w:autoSpaceDN w:val="0"/>
        <w:adjustRightInd w:val="0"/>
        <w:spacing w:line="276" w:lineRule="auto"/>
        <w:jc w:val="both"/>
        <w:rPr>
          <w:rFonts w:cs="Arial"/>
          <w:color w:val="000000"/>
        </w:rPr>
      </w:pPr>
    </w:p>
    <w:p w14:paraId="782B77D2" w14:textId="77777777" w:rsidR="007A3E11" w:rsidRDefault="005A4E14" w:rsidP="007A3E11">
      <w:pPr>
        <w:pStyle w:val="ListParagraph"/>
      </w:pPr>
      <w:r>
        <w:t>The Commission</w:t>
      </w:r>
      <w:r w:rsidRPr="005A4E14">
        <w:t xml:space="preserve"> encourage</w:t>
      </w:r>
      <w:r>
        <w:t>s</w:t>
      </w:r>
      <w:r w:rsidRPr="005A4E14">
        <w:t xml:space="preserve"> individuals and organisations to make written </w:t>
      </w:r>
      <w:r w:rsidR="001E6FE7">
        <w:t>and/</w:t>
      </w:r>
      <w:r w:rsidRPr="005A4E14">
        <w:t>or oral r</w:t>
      </w:r>
      <w:r w:rsidR="006519F1">
        <w:t>epresentations</w:t>
      </w:r>
      <w:r w:rsidRPr="005A4E14">
        <w:t xml:space="preserve">, whether </w:t>
      </w:r>
      <w:r w:rsidR="007A3E11">
        <w:t>for or against the proposals</w:t>
      </w:r>
      <w:r w:rsidR="00875322">
        <w:t>.</w:t>
      </w:r>
      <w:r w:rsidR="007A3E11">
        <w:t xml:space="preserve"> </w:t>
      </w:r>
      <w:r w:rsidR="007A3E11" w:rsidRPr="0002229B">
        <w:t>The mann</w:t>
      </w:r>
      <w:r w:rsidR="007A3E11">
        <w:t>er in which a representation is</w:t>
      </w:r>
      <w:r w:rsidR="007A3E11" w:rsidRPr="0002229B">
        <w:t xml:space="preserve"> made (whether orally or in writing)</w:t>
      </w:r>
      <w:r w:rsidR="007A3E11">
        <w:t>, or the consultation stage at which it is made,</w:t>
      </w:r>
      <w:r w:rsidR="007A3E11" w:rsidRPr="0002229B">
        <w:t xml:space="preserve"> will not influence the weight that the Commission gives to that representation when considering its recommendations.</w:t>
      </w:r>
      <w:r w:rsidR="007A3E11" w:rsidRPr="007A3E11">
        <w:t xml:space="preserve"> </w:t>
      </w:r>
    </w:p>
    <w:p w14:paraId="4C7A8CE2" w14:textId="77777777" w:rsidR="007A3E11" w:rsidRDefault="007A3E11" w:rsidP="007A3E11">
      <w:pPr>
        <w:pStyle w:val="ListParagraph"/>
        <w:numPr>
          <w:ilvl w:val="0"/>
          <w:numId w:val="0"/>
        </w:numPr>
      </w:pPr>
    </w:p>
    <w:p w14:paraId="64E6FAA4" w14:textId="373A9C1F" w:rsidR="007A3E11" w:rsidRPr="005A4E14" w:rsidRDefault="007A3E11" w:rsidP="00CA259A">
      <w:pPr>
        <w:pStyle w:val="ListParagraph"/>
      </w:pPr>
      <w:r>
        <w:t>The Commission’s website and social media (as detailed in Chapter 1) will be used to publicise its proposals, and to set out how representations can be made</w:t>
      </w:r>
      <w:r w:rsidR="00CA259A">
        <w:t>.</w:t>
      </w:r>
    </w:p>
    <w:p w14:paraId="1F4F0F55" w14:textId="5E77161B" w:rsidR="00875322" w:rsidRDefault="00875322" w:rsidP="00875322">
      <w:pPr>
        <w:autoSpaceDE w:val="0"/>
        <w:autoSpaceDN w:val="0"/>
        <w:adjustRightInd w:val="0"/>
        <w:spacing w:line="276" w:lineRule="auto"/>
        <w:jc w:val="both"/>
        <w:rPr>
          <w:rFonts w:ascii="Times New Roman" w:eastAsia="Times New Roman" w:hAnsi="Times New Roman" w:cs="Arial"/>
          <w:szCs w:val="24"/>
          <w:lang w:eastAsia="en-GB"/>
        </w:rPr>
      </w:pPr>
    </w:p>
    <w:p w14:paraId="7B5BA291" w14:textId="4D673A1A" w:rsidR="00875322" w:rsidRPr="00875322" w:rsidRDefault="00875322" w:rsidP="00AC6E7C">
      <w:pPr>
        <w:pStyle w:val="Heading2"/>
        <w:rPr>
          <w:color w:val="000000"/>
        </w:rPr>
      </w:pPr>
      <w:bookmarkStart w:id="16" w:name="_Toc72949432"/>
      <w:r w:rsidRPr="00875322">
        <w:rPr>
          <w:rFonts w:eastAsia="Times New Roman"/>
          <w:lang w:eastAsia="en-GB"/>
        </w:rPr>
        <w:t>Preparation of Initial Proposals</w:t>
      </w:r>
      <w:bookmarkEnd w:id="16"/>
    </w:p>
    <w:p w14:paraId="2D51D058" w14:textId="509BE40B" w:rsidR="00875322" w:rsidRDefault="00497FD2" w:rsidP="009670B2">
      <w:pPr>
        <w:pStyle w:val="ListParagraph"/>
      </w:pPr>
      <w:r>
        <w:t xml:space="preserve">The </w:t>
      </w:r>
      <w:r w:rsidR="005D1757">
        <w:t xml:space="preserve">Commission will prepare its </w:t>
      </w:r>
      <w:r w:rsidR="00734097">
        <w:t>initial</w:t>
      </w:r>
      <w:r w:rsidR="005D1757">
        <w:t xml:space="preserve"> proposals for Parliamentary constituencies </w:t>
      </w:r>
      <w:r w:rsidR="005D1757" w:rsidRPr="00875322">
        <w:t>in Northern Ireland. These will be developed taking account o</w:t>
      </w:r>
      <w:r w:rsidR="001E6FE7">
        <w:t>f the r</w:t>
      </w:r>
      <w:r w:rsidR="00875322">
        <w:t>ules, factors and approach outlined at Chapter 3 of this Guide.</w:t>
      </w:r>
    </w:p>
    <w:p w14:paraId="130FEF73" w14:textId="77777777" w:rsidR="00875322" w:rsidRDefault="00875322" w:rsidP="00F55D5E"/>
    <w:p w14:paraId="25326CE5" w14:textId="0B830B33" w:rsidR="005D1757" w:rsidRPr="00875322" w:rsidRDefault="00875322" w:rsidP="009670B2">
      <w:pPr>
        <w:pStyle w:val="ListParagraph"/>
        <w:rPr>
          <w:color w:val="000000"/>
        </w:rPr>
      </w:pPr>
      <w:r w:rsidRPr="00875322">
        <w:t xml:space="preserve">The Commission will </w:t>
      </w:r>
      <w:r w:rsidR="001E6FE7">
        <w:t xml:space="preserve">consider a </w:t>
      </w:r>
      <w:r w:rsidRPr="00875322">
        <w:t>range of options</w:t>
      </w:r>
      <w:r w:rsidR="001E6FE7">
        <w:t xml:space="preserve"> in the development of its initial proposals</w:t>
      </w:r>
      <w:r w:rsidRPr="00875322">
        <w:t xml:space="preserve">. Only after </w:t>
      </w:r>
      <w:r w:rsidR="00494BAD">
        <w:t>scrutinizing</w:t>
      </w:r>
      <w:r w:rsidRPr="00875322">
        <w:t xml:space="preserve"> a number of schemes of const</w:t>
      </w:r>
      <w:r w:rsidR="001E6FE7">
        <w:t>ituencies for the whole of Northern Ireland</w:t>
      </w:r>
      <w:r w:rsidRPr="00875322">
        <w:t xml:space="preserve"> will the Commission decide on </w:t>
      </w:r>
      <w:r w:rsidR="001E6FE7">
        <w:t xml:space="preserve">its </w:t>
      </w:r>
      <w:r w:rsidRPr="00875322">
        <w:t>initial proposals.</w:t>
      </w:r>
    </w:p>
    <w:p w14:paraId="6189A268" w14:textId="77777777" w:rsidR="005D1757" w:rsidRDefault="005D1757" w:rsidP="00F55D5E">
      <w:pPr>
        <w:ind w:left="142"/>
      </w:pPr>
    </w:p>
    <w:p w14:paraId="2148647D" w14:textId="008973EF" w:rsidR="00875322" w:rsidRPr="00875322" w:rsidRDefault="00875322" w:rsidP="00AC6E7C">
      <w:pPr>
        <w:pStyle w:val="Heading2"/>
      </w:pPr>
      <w:bookmarkStart w:id="17" w:name="_Toc72949433"/>
      <w:r w:rsidRPr="00875322">
        <w:t>Publication of Initial Proposals</w:t>
      </w:r>
      <w:bookmarkEnd w:id="17"/>
    </w:p>
    <w:p w14:paraId="0AA7B8EC" w14:textId="0A582498" w:rsidR="005D1757" w:rsidRPr="00875322" w:rsidRDefault="005D1757" w:rsidP="009670B2">
      <w:pPr>
        <w:pStyle w:val="ListParagraph"/>
      </w:pPr>
      <w:r>
        <w:t xml:space="preserve">The </w:t>
      </w:r>
      <w:r w:rsidRPr="00E40677">
        <w:t xml:space="preserve">Commission </w:t>
      </w:r>
      <w:r>
        <w:t>will then</w:t>
      </w:r>
      <w:r w:rsidRPr="00E40677">
        <w:t xml:space="preserve"> publish </w:t>
      </w:r>
      <w:r>
        <w:t xml:space="preserve">its </w:t>
      </w:r>
      <w:r w:rsidR="00734097">
        <w:t xml:space="preserve">initial </w:t>
      </w:r>
      <w:r>
        <w:t>p</w:t>
      </w:r>
      <w:r w:rsidRPr="00E40677">
        <w:t>roposals</w:t>
      </w:r>
      <w:r w:rsidR="00F45881">
        <w:t xml:space="preserve"> for consultation</w:t>
      </w:r>
      <w:r w:rsidR="008B0944">
        <w:t xml:space="preserve">, </w:t>
      </w:r>
      <w:r w:rsidR="00F45881">
        <w:t xml:space="preserve">together </w:t>
      </w:r>
      <w:r w:rsidR="008B0944">
        <w:t xml:space="preserve">with </w:t>
      </w:r>
      <w:r w:rsidR="000C1633">
        <w:t>an accompanying report</w:t>
      </w:r>
      <w:r w:rsidR="00F45881">
        <w:t>. These</w:t>
      </w:r>
      <w:r>
        <w:t xml:space="preserve"> will be</w:t>
      </w:r>
      <w:r w:rsidRPr="00EF0EA6">
        <w:t xml:space="preserve"> </w:t>
      </w:r>
      <w:r>
        <w:t xml:space="preserve">placed on </w:t>
      </w:r>
      <w:r w:rsidR="0065562E">
        <w:t>the Commission’s</w:t>
      </w:r>
      <w:r w:rsidRPr="00EF0EA6">
        <w:t xml:space="preserve"> website</w:t>
      </w:r>
      <w:r>
        <w:t xml:space="preserve"> with informati</w:t>
      </w:r>
      <w:r w:rsidR="0065562E">
        <w:t>on about how and when to submit a representation</w:t>
      </w:r>
      <w:r>
        <w:t xml:space="preserve">. </w:t>
      </w:r>
    </w:p>
    <w:p w14:paraId="52E3DD25" w14:textId="77777777" w:rsidR="005D1757" w:rsidRDefault="005D1757" w:rsidP="00F55D5E"/>
    <w:p w14:paraId="08A5EF11" w14:textId="631E2389" w:rsidR="00217767" w:rsidRPr="006B737E" w:rsidRDefault="00F45881" w:rsidP="009670B2">
      <w:pPr>
        <w:pStyle w:val="ListParagraph"/>
      </w:pPr>
      <w:r>
        <w:t>As part of this consultation process</w:t>
      </w:r>
      <w:r w:rsidR="000816AA">
        <w:t>, a copy of the proposals will</w:t>
      </w:r>
      <w:r>
        <w:t xml:space="preserve"> be made</w:t>
      </w:r>
      <w:r w:rsidR="005D1757" w:rsidRPr="00875322">
        <w:t xml:space="preserve"> available at public display points in every constituency</w:t>
      </w:r>
      <w:r w:rsidR="006B737E">
        <w:t xml:space="preserve">. </w:t>
      </w:r>
      <w:r w:rsidR="005D1757" w:rsidRPr="00875322">
        <w:t>A full list of the display points will be published on the Commission’s website in due course.</w:t>
      </w:r>
      <w:r w:rsidR="006B737E" w:rsidRPr="006B737E">
        <w:t xml:space="preserve"> </w:t>
      </w:r>
      <w:r w:rsidR="006B737E">
        <w:t>I</w:t>
      </w:r>
      <w:r w:rsidR="00217767" w:rsidRPr="006B737E">
        <w:t xml:space="preserve">f you require a copy of the </w:t>
      </w:r>
      <w:r w:rsidR="006B737E">
        <w:lastRenderedPageBreak/>
        <w:t>initial</w:t>
      </w:r>
      <w:r w:rsidR="00217767" w:rsidRPr="006B737E">
        <w:t xml:space="preserve"> proposals in an alternative format, please contact the Commission using the contact details </w:t>
      </w:r>
      <w:r w:rsidR="006B737E">
        <w:t xml:space="preserve">in </w:t>
      </w:r>
      <w:r w:rsidR="006B737E" w:rsidRPr="006B737E">
        <w:t>Chapter 1.</w:t>
      </w:r>
    </w:p>
    <w:p w14:paraId="30D1D111" w14:textId="77777777" w:rsidR="00A0419A" w:rsidRPr="00A0419A" w:rsidRDefault="00A0419A" w:rsidP="00F55D5E">
      <w:pPr>
        <w:ind w:left="142"/>
      </w:pPr>
    </w:p>
    <w:p w14:paraId="4652B53F" w14:textId="165732E5" w:rsidR="0044322D" w:rsidRPr="0044322D" w:rsidRDefault="0044322D" w:rsidP="00AC6E7C">
      <w:pPr>
        <w:pStyle w:val="Heading2"/>
      </w:pPr>
      <w:bookmarkStart w:id="18" w:name="_Toc72949434"/>
      <w:r w:rsidRPr="0044322D">
        <w:t>Initial Consultation Period</w:t>
      </w:r>
      <w:bookmarkEnd w:id="18"/>
    </w:p>
    <w:p w14:paraId="1580DA2B" w14:textId="77777777" w:rsidR="004565DA" w:rsidRDefault="00A0419A" w:rsidP="009670B2">
      <w:pPr>
        <w:pStyle w:val="ListParagraph"/>
      </w:pPr>
      <w:r>
        <w:t>Following publication of the init</w:t>
      </w:r>
      <w:r w:rsidR="007B457D">
        <w:t>i</w:t>
      </w:r>
      <w:r>
        <w:t>al proposals, there will be a statutory 8-week consultation period (</w:t>
      </w:r>
      <w:r w:rsidR="007B1556">
        <w:t>‘</w:t>
      </w:r>
      <w:r>
        <w:t>the initial consultation period</w:t>
      </w:r>
      <w:r w:rsidR="0022492F">
        <w:t>’</w:t>
      </w:r>
      <w:r w:rsidR="00D91E1D">
        <w:t>)</w:t>
      </w:r>
      <w:r w:rsidR="002621C8">
        <w:t xml:space="preserve">. </w:t>
      </w:r>
      <w:r w:rsidRPr="009D4BEB">
        <w:t xml:space="preserve">During this time, representations can be made to the Commission in writing. Details of how individuals and organisations can make written representations during the initial consultation period will be published alongside the </w:t>
      </w:r>
      <w:r>
        <w:t>initial</w:t>
      </w:r>
      <w:r w:rsidRPr="009D4BEB">
        <w:t xml:space="preserve"> proposals. It is important that representations are submitted in time to ensure they are receiv</w:t>
      </w:r>
      <w:r>
        <w:t>ed within the</w:t>
      </w:r>
      <w:r w:rsidRPr="009D4BEB">
        <w:t xml:space="preserve"> </w:t>
      </w:r>
      <w:r w:rsidR="0044322D">
        <w:t>8-week</w:t>
      </w:r>
      <w:r w:rsidRPr="009D4BEB">
        <w:t xml:space="preserve"> period. </w:t>
      </w:r>
    </w:p>
    <w:p w14:paraId="612EA236" w14:textId="77777777" w:rsidR="00F12879" w:rsidRDefault="00F12879" w:rsidP="00F12879">
      <w:pPr>
        <w:pStyle w:val="ListParagraph"/>
        <w:numPr>
          <w:ilvl w:val="0"/>
          <w:numId w:val="0"/>
        </w:numPr>
      </w:pPr>
    </w:p>
    <w:p w14:paraId="06DE70A1" w14:textId="59117D73" w:rsidR="00B424A0" w:rsidRDefault="00497FD2" w:rsidP="009670B2">
      <w:pPr>
        <w:pStyle w:val="ListParagraph"/>
      </w:pPr>
      <w:r w:rsidRPr="004565DA">
        <w:t xml:space="preserve">Representations </w:t>
      </w:r>
      <w:r w:rsidR="00734097" w:rsidRPr="004565DA">
        <w:t>can</w:t>
      </w:r>
      <w:r w:rsidR="00966AED" w:rsidRPr="004565DA">
        <w:t xml:space="preserve"> </w:t>
      </w:r>
      <w:r w:rsidRPr="004565DA">
        <w:t>support</w:t>
      </w:r>
      <w:r w:rsidR="00966AED" w:rsidRPr="004565DA">
        <w:t xml:space="preserve"> or oppose</w:t>
      </w:r>
      <w:r w:rsidRPr="004565DA">
        <w:t xml:space="preserve"> the initial</w:t>
      </w:r>
      <w:r w:rsidR="00966AED" w:rsidRPr="004565DA">
        <w:t xml:space="preserve"> proposals</w:t>
      </w:r>
      <w:r w:rsidRPr="004565DA">
        <w:t xml:space="preserve">. Representations that </w:t>
      </w:r>
      <w:r w:rsidR="00734097" w:rsidRPr="004565DA">
        <w:t>oppose</w:t>
      </w:r>
      <w:r w:rsidRPr="004565DA">
        <w:t xml:space="preserve"> the Commission’s proposals</w:t>
      </w:r>
      <w:r w:rsidR="00966AED" w:rsidRPr="004565DA">
        <w:t xml:space="preserve"> can</w:t>
      </w:r>
      <w:r w:rsidRPr="004565DA">
        <w:t xml:space="preserve"> include suggestions for alternative proposals. </w:t>
      </w:r>
      <w:r w:rsidR="00600E8C" w:rsidRPr="004565DA">
        <w:t xml:space="preserve">For representations opposing the proposals, </w:t>
      </w:r>
      <w:r w:rsidR="0044322D" w:rsidRPr="004565DA">
        <w:t xml:space="preserve">it </w:t>
      </w:r>
      <w:r w:rsidR="00600E8C" w:rsidRPr="004565DA">
        <w:t xml:space="preserve">is helpful if they include alternative suggestions which take into account the requirements of the legislation.  </w:t>
      </w:r>
      <w:r w:rsidR="00920A3C" w:rsidRPr="004565DA">
        <w:t>A counter-proposal that sets out the composition of each constituency is likely to be more persuasive than a proposal for a single constituency which does not address any knock-on effects on neighbouring constituencies.</w:t>
      </w:r>
    </w:p>
    <w:p w14:paraId="0F067B66" w14:textId="77777777" w:rsidR="002557B5" w:rsidRPr="002557B5" w:rsidRDefault="002557B5" w:rsidP="00E11B77"/>
    <w:p w14:paraId="41BA4C4D" w14:textId="0EFAA3EE" w:rsidR="002E31DD" w:rsidRPr="002778CA" w:rsidRDefault="002E31DD" w:rsidP="00AC6E7C">
      <w:pPr>
        <w:pStyle w:val="Heading2"/>
      </w:pPr>
      <w:bookmarkStart w:id="19" w:name="_Toc72949435"/>
      <w:r w:rsidRPr="002778CA">
        <w:t>Secondary Consultation Period</w:t>
      </w:r>
      <w:bookmarkEnd w:id="19"/>
      <w:r w:rsidR="0048075A" w:rsidRPr="002778CA">
        <w:t xml:space="preserve"> </w:t>
      </w:r>
    </w:p>
    <w:p w14:paraId="498B0CB3" w14:textId="7F80037F" w:rsidR="00933BF0" w:rsidRDefault="00E64099" w:rsidP="009670B2">
      <w:pPr>
        <w:pStyle w:val="ListParagraph"/>
      </w:pPr>
      <w:r w:rsidRPr="002B04B8">
        <w:rPr>
          <w:color w:val="000000"/>
        </w:rPr>
        <w:t>After the initial consultation period, the Commis</w:t>
      </w:r>
      <w:r w:rsidR="0044322D">
        <w:rPr>
          <w:color w:val="000000"/>
        </w:rPr>
        <w:t>sion will publish</w:t>
      </w:r>
      <w:r w:rsidRPr="002B04B8">
        <w:rPr>
          <w:color w:val="000000"/>
        </w:rPr>
        <w:t xml:space="preserve"> the written representations </w:t>
      </w:r>
      <w:r w:rsidR="0044322D">
        <w:rPr>
          <w:color w:val="000000"/>
        </w:rPr>
        <w:t xml:space="preserve">it has </w:t>
      </w:r>
      <w:r w:rsidRPr="002B04B8">
        <w:rPr>
          <w:color w:val="000000"/>
        </w:rPr>
        <w:t>received</w:t>
      </w:r>
      <w:r w:rsidR="0044322D">
        <w:rPr>
          <w:color w:val="000000"/>
        </w:rPr>
        <w:t xml:space="preserve"> on its website</w:t>
      </w:r>
      <w:r w:rsidRPr="002B04B8">
        <w:rPr>
          <w:color w:val="000000"/>
        </w:rPr>
        <w:t xml:space="preserve">. </w:t>
      </w:r>
      <w:r w:rsidR="00933BF0">
        <w:t>If you require a copy of those</w:t>
      </w:r>
      <w:r w:rsidR="00933BF0" w:rsidRPr="006B737E">
        <w:t xml:space="preserve"> </w:t>
      </w:r>
      <w:r w:rsidR="00933BF0">
        <w:t xml:space="preserve">written representations </w:t>
      </w:r>
      <w:r w:rsidR="00933BF0" w:rsidRPr="006B737E">
        <w:t xml:space="preserve">in an alternative format, please contact the Commission using the contact details </w:t>
      </w:r>
      <w:r w:rsidR="00933BF0">
        <w:t xml:space="preserve">in </w:t>
      </w:r>
      <w:r w:rsidR="00933BF0" w:rsidRPr="006B737E">
        <w:t>Chapter 1.</w:t>
      </w:r>
    </w:p>
    <w:p w14:paraId="6D130CAE" w14:textId="77777777" w:rsidR="00933BF0" w:rsidRPr="006B737E" w:rsidRDefault="00933BF0" w:rsidP="002034AF"/>
    <w:p w14:paraId="47CC5E69" w14:textId="38397ECE" w:rsidR="00234D79" w:rsidRDefault="00E416C3" w:rsidP="00221AFC">
      <w:pPr>
        <w:pStyle w:val="ListParagraph"/>
      </w:pPr>
      <w:r>
        <w:t>T</w:t>
      </w:r>
      <w:r w:rsidR="00553636">
        <w:t>here will then</w:t>
      </w:r>
      <w:r w:rsidR="0044322D">
        <w:t xml:space="preserve"> be a further statutory 6-</w:t>
      </w:r>
      <w:r w:rsidR="00E64099" w:rsidRPr="0044322D">
        <w:t xml:space="preserve">week period </w:t>
      </w:r>
      <w:r w:rsidR="00814B34" w:rsidRPr="0044322D">
        <w:t xml:space="preserve">(‘the secondary consultation period’) </w:t>
      </w:r>
      <w:r w:rsidR="00E64099" w:rsidRPr="0044322D">
        <w:t>during which individuals and organisations can submit</w:t>
      </w:r>
      <w:r w:rsidR="003A3F76" w:rsidRPr="0044322D">
        <w:t xml:space="preserve"> written</w:t>
      </w:r>
      <w:r w:rsidR="00E64099" w:rsidRPr="0044322D">
        <w:t xml:space="preserve"> comments on the representations from t</w:t>
      </w:r>
      <w:r w:rsidR="007B443E">
        <w:t>he initial consultation period.</w:t>
      </w:r>
      <w:r w:rsidR="00221AFC">
        <w:t xml:space="preserve"> </w:t>
      </w:r>
      <w:r w:rsidR="0044322D" w:rsidRPr="0044322D">
        <w:t xml:space="preserve">Therefore, </w:t>
      </w:r>
      <w:r w:rsidR="0044322D">
        <w:t xml:space="preserve">written </w:t>
      </w:r>
      <w:r w:rsidR="0044322D" w:rsidRPr="0044322D">
        <w:t>r</w:t>
      </w:r>
      <w:r w:rsidR="00E64099" w:rsidRPr="0044322D">
        <w:t xml:space="preserve">epresentations made during the secondary consultation period can support or challenge </w:t>
      </w:r>
      <w:r w:rsidR="0044322D" w:rsidRPr="0044322D">
        <w:t xml:space="preserve">the </w:t>
      </w:r>
      <w:r w:rsidR="00E64099" w:rsidRPr="0044322D">
        <w:t xml:space="preserve">representations made by others during the initial consultation period. </w:t>
      </w:r>
    </w:p>
    <w:p w14:paraId="04E28C10" w14:textId="77777777" w:rsidR="00B424A0" w:rsidRPr="00B424A0" w:rsidRDefault="00B424A0" w:rsidP="00E11B77"/>
    <w:p w14:paraId="1F5A7525" w14:textId="10F5E392" w:rsidR="00933BF0" w:rsidRPr="002778CA" w:rsidRDefault="00933BF0" w:rsidP="00AC6E7C">
      <w:pPr>
        <w:pStyle w:val="Heading2"/>
      </w:pPr>
      <w:bookmarkStart w:id="20" w:name="_Toc72949436"/>
      <w:r w:rsidRPr="002778CA">
        <w:t>Public Hearings</w:t>
      </w:r>
      <w:bookmarkEnd w:id="20"/>
    </w:p>
    <w:p w14:paraId="6734112F" w14:textId="4D724712" w:rsidR="007E7CFB" w:rsidRPr="004352EF" w:rsidRDefault="00234D79" w:rsidP="009670B2">
      <w:pPr>
        <w:pStyle w:val="ListParagraph"/>
      </w:pPr>
      <w:r w:rsidRPr="007E7CFB">
        <w:t xml:space="preserve">The Commission is also required to hold public hearings during the secondary consultation period. </w:t>
      </w:r>
      <w:r w:rsidR="004453EF" w:rsidRPr="007E7CFB">
        <w:t>The legislation specifies that there must be at least two, and no more than five, public hearings</w:t>
      </w:r>
      <w:r w:rsidR="007E7CFB">
        <w:t>, of no more than 2 days each</w:t>
      </w:r>
      <w:r w:rsidR="004453EF" w:rsidRPr="007E7CFB">
        <w:t>.</w:t>
      </w:r>
      <w:r w:rsidR="007E7CFB" w:rsidRPr="007E7CFB">
        <w:t xml:space="preserve"> The hearings shall between them cover </w:t>
      </w:r>
      <w:r w:rsidR="008F1FD7">
        <w:t xml:space="preserve">proposals regarding </w:t>
      </w:r>
      <w:r w:rsidR="007E7CFB" w:rsidRPr="007E7CFB">
        <w:t>the whole of Northern Ireland.</w:t>
      </w:r>
      <w:r w:rsidR="00A235FB">
        <w:t xml:space="preserve"> Public hearings are</w:t>
      </w:r>
      <w:r w:rsidR="004352EF">
        <w:t xml:space="preserve"> intended to provide an opportunity to make oral representations about any of the Commission’s initial proposals, and to present any counterproposals. </w:t>
      </w:r>
    </w:p>
    <w:p w14:paraId="31CD7C10" w14:textId="77777777" w:rsidR="007E7CFB" w:rsidRPr="007E7CFB" w:rsidRDefault="007E7CFB" w:rsidP="002034AF"/>
    <w:p w14:paraId="18054475" w14:textId="0119087F" w:rsidR="00173453" w:rsidRPr="00146E87" w:rsidRDefault="007E7CFB" w:rsidP="003C5DC0">
      <w:pPr>
        <w:pStyle w:val="ListParagraph"/>
      </w:pPr>
      <w:r>
        <w:t>Detailed information about these public</w:t>
      </w:r>
      <w:r w:rsidR="00234D79" w:rsidRPr="007E7CFB">
        <w:t xml:space="preserve"> hearings will be announced on the Commission’s website in due course. </w:t>
      </w:r>
    </w:p>
    <w:p w14:paraId="5E82A2C6" w14:textId="3083176A" w:rsidR="00173453" w:rsidRPr="004352EF" w:rsidRDefault="00173453" w:rsidP="009670B2">
      <w:pPr>
        <w:pStyle w:val="ListParagraph"/>
      </w:pPr>
      <w:r w:rsidRPr="00666CFF">
        <w:lastRenderedPageBreak/>
        <w:t>A</w:t>
      </w:r>
      <w:r>
        <w:t xml:space="preserve"> </w:t>
      </w:r>
      <w:r w:rsidRPr="00666CFF">
        <w:t xml:space="preserve">Chair will be appointed </w:t>
      </w:r>
      <w:r w:rsidRPr="00922EEF">
        <w:t>for each hearing.</w:t>
      </w:r>
      <w:r w:rsidR="00004641" w:rsidRPr="00004641">
        <w:t xml:space="preserve"> Each hearing will begin with an explanation of the</w:t>
      </w:r>
      <w:r w:rsidR="004352EF">
        <w:t xml:space="preserve"> proposals</w:t>
      </w:r>
      <w:r w:rsidR="00C52AA8">
        <w:t xml:space="preserve"> with which the hearing is concerned,</w:t>
      </w:r>
      <w:r w:rsidR="004352EF">
        <w:t xml:space="preserve"> and how written representations may</w:t>
      </w:r>
      <w:r w:rsidR="009C1721">
        <w:t xml:space="preserve"> also</w:t>
      </w:r>
      <w:r w:rsidR="004352EF">
        <w:t xml:space="preserve"> be made</w:t>
      </w:r>
      <w:r w:rsidR="00004641" w:rsidRPr="00004641">
        <w:t>.</w:t>
      </w:r>
      <w:r w:rsidR="00004641">
        <w:t xml:space="preserve"> </w:t>
      </w:r>
      <w:r w:rsidR="00040482">
        <w:t>The Chair may</w:t>
      </w:r>
      <w:r w:rsidRPr="00004641">
        <w:t xml:space="preserve"> determine the order in which participants speak, the time allotted to each speaker and (if necessary due to time constraints) who is permitted to speak.</w:t>
      </w:r>
      <w:r w:rsidR="00DB0271">
        <w:t xml:space="preserve"> The C</w:t>
      </w:r>
      <w:r w:rsidR="00040482">
        <w:t>hair may</w:t>
      </w:r>
      <w:r w:rsidR="004352EF" w:rsidRPr="004352EF">
        <w:t xml:space="preserve"> also </w:t>
      </w:r>
      <w:r w:rsidR="00C52AA8">
        <w:t>manage</w:t>
      </w:r>
      <w:r w:rsidR="0057353C">
        <w:t xml:space="preserve"> any</w:t>
      </w:r>
      <w:r w:rsidR="004352EF">
        <w:t xml:space="preserve"> </w:t>
      </w:r>
      <w:r w:rsidR="004352EF" w:rsidRPr="004352EF">
        <w:t xml:space="preserve">questioning of </w:t>
      </w:r>
      <w:r w:rsidR="0057353C">
        <w:t>thos</w:t>
      </w:r>
      <w:r w:rsidR="00815D5F">
        <w:t>e present at the hearing.</w:t>
      </w:r>
    </w:p>
    <w:p w14:paraId="54AB62EA" w14:textId="77777777" w:rsidR="00173453" w:rsidRDefault="00173453" w:rsidP="002034AF"/>
    <w:p w14:paraId="4DFE94CE" w14:textId="5D83CDAA" w:rsidR="00173453" w:rsidRDefault="00173453" w:rsidP="009670B2">
      <w:pPr>
        <w:pStyle w:val="ListParagraph"/>
      </w:pPr>
      <w:r w:rsidRPr="004352EF">
        <w:t xml:space="preserve">Respondents wishing to speak at one of the hearings </w:t>
      </w:r>
      <w:r w:rsidR="004352EF">
        <w:t>are encouraged to inform</w:t>
      </w:r>
      <w:r w:rsidRPr="004352EF">
        <w:t xml:space="preserve"> the Commission in advance. Details on how to request a speaking slot will be published on the Commission’s website in due course.</w:t>
      </w:r>
      <w:r w:rsidR="00AE708C" w:rsidRPr="00AE708C">
        <w:t xml:space="preserve"> </w:t>
      </w:r>
      <w:r w:rsidR="00AE708C">
        <w:t>Participants should expect their oral representations to be recorded and transcribed for later publication.</w:t>
      </w:r>
    </w:p>
    <w:p w14:paraId="3D9BA82F" w14:textId="55F1407B" w:rsidR="00D85046" w:rsidRPr="00CF5777" w:rsidRDefault="00D85046" w:rsidP="003C5DC0">
      <w:pPr>
        <w:jc w:val="both"/>
        <w:rPr>
          <w:rFonts w:cs="Arial"/>
          <w:color w:val="000000"/>
        </w:rPr>
      </w:pPr>
    </w:p>
    <w:p w14:paraId="746409EA" w14:textId="3BC2662D" w:rsidR="00787697" w:rsidRDefault="00D85046" w:rsidP="0042190F">
      <w:pPr>
        <w:pStyle w:val="ListParagraph"/>
      </w:pPr>
      <w:r w:rsidRPr="00CF5777">
        <w:t xml:space="preserve">The Commission is currently considering alternative arrangements </w:t>
      </w:r>
      <w:r w:rsidR="0042190F">
        <w:t xml:space="preserve">which </w:t>
      </w:r>
      <w:r w:rsidR="003E73B7">
        <w:t>may be required,</w:t>
      </w:r>
      <w:r w:rsidRPr="00CF5777">
        <w:t xml:space="preserve"> should COVID-19 restrictions still be in place at the time of the public hearings</w:t>
      </w:r>
      <w:r w:rsidR="00CF5777">
        <w:t>. More information will be provided</w:t>
      </w:r>
      <w:r w:rsidRPr="00CF5777">
        <w:t xml:space="preserve"> on any alternative arrangements </w:t>
      </w:r>
      <w:r w:rsidR="0032117A">
        <w:t>at the appropriate time</w:t>
      </w:r>
      <w:r w:rsidRPr="00CF5777">
        <w:t xml:space="preserve">. </w:t>
      </w:r>
    </w:p>
    <w:p w14:paraId="19087458" w14:textId="77777777" w:rsidR="00787697" w:rsidRDefault="00787697" w:rsidP="00787697">
      <w:pPr>
        <w:pStyle w:val="ListParagraph"/>
        <w:numPr>
          <w:ilvl w:val="0"/>
          <w:numId w:val="0"/>
        </w:numPr>
      </w:pPr>
    </w:p>
    <w:p w14:paraId="0AF23DB9" w14:textId="4CB24D46" w:rsidR="00146F09" w:rsidRPr="007A3E11" w:rsidRDefault="00787697" w:rsidP="007A3E11">
      <w:pPr>
        <w:pStyle w:val="Heading2"/>
        <w:rPr>
          <w:rFonts w:eastAsia="Times New Roman"/>
          <w:lang w:eastAsia="en-GB"/>
        </w:rPr>
      </w:pPr>
      <w:bookmarkStart w:id="21" w:name="_Toc72949437"/>
      <w:r w:rsidRPr="00146F09">
        <w:t xml:space="preserve">Third Consultation Period </w:t>
      </w:r>
      <w:r>
        <w:t>and Revised Proposals</w:t>
      </w:r>
      <w:bookmarkEnd w:id="21"/>
    </w:p>
    <w:p w14:paraId="277248A0" w14:textId="787AEA4B" w:rsidR="00146F09" w:rsidRPr="00146F09" w:rsidRDefault="00146F09" w:rsidP="009670B2">
      <w:pPr>
        <w:pStyle w:val="ListParagraph"/>
        <w:rPr>
          <w:color w:val="000000"/>
        </w:rPr>
      </w:pPr>
      <w:r w:rsidRPr="00146F09">
        <w:t>After the end of the secondary consultation period, the Commission will publish on its website all the written representations received during the secondary consultation period, together with tra</w:t>
      </w:r>
      <w:r>
        <w:t>nscripts of the public hearings.</w:t>
      </w:r>
    </w:p>
    <w:p w14:paraId="1E7B2B98" w14:textId="77777777" w:rsidR="00146F09" w:rsidRPr="00146F09" w:rsidRDefault="00146F09" w:rsidP="002034AF"/>
    <w:p w14:paraId="2C2F54EF" w14:textId="46F542B6" w:rsidR="00146F09" w:rsidRPr="00FE4A43" w:rsidRDefault="007A3D77" w:rsidP="009670B2">
      <w:pPr>
        <w:pStyle w:val="ListParagraph"/>
        <w:rPr>
          <w:color w:val="000000"/>
        </w:rPr>
      </w:pPr>
      <w:r>
        <w:t>Following the publication of</w:t>
      </w:r>
      <w:r w:rsidR="00146F09" w:rsidRPr="00146F09">
        <w:t xml:space="preserve"> these representa</w:t>
      </w:r>
      <w:r>
        <w:t xml:space="preserve">tions and transcripts, </w:t>
      </w:r>
      <w:r w:rsidR="00146F09" w:rsidRPr="00146F09">
        <w:t xml:space="preserve">there will be a further 4-week period during which individuals and organisations can submit written comments </w:t>
      </w:r>
      <w:r w:rsidR="00B849CC">
        <w:t>with respect to representations made at the</w:t>
      </w:r>
      <w:r w:rsidR="00146F09" w:rsidRPr="00146F09">
        <w:t xml:space="preserve"> public hearings. </w:t>
      </w:r>
      <w:r w:rsidR="00146F09">
        <w:t>This</w:t>
      </w:r>
      <w:r w:rsidR="00146F09" w:rsidRPr="00146F09">
        <w:t xml:space="preserve"> is known as the ‘third consultation period’</w:t>
      </w:r>
      <w:r w:rsidR="00146F09">
        <w:t>.</w:t>
      </w:r>
    </w:p>
    <w:p w14:paraId="5A7E1F0B" w14:textId="08811B16" w:rsidR="00146F09" w:rsidRPr="00146F09" w:rsidRDefault="00146F09" w:rsidP="003C5DC0">
      <w:pPr>
        <w:spacing w:line="276" w:lineRule="auto"/>
        <w:jc w:val="both"/>
        <w:rPr>
          <w:rFonts w:cs="Arial"/>
          <w:color w:val="000000"/>
        </w:rPr>
      </w:pPr>
    </w:p>
    <w:p w14:paraId="66D0EF58" w14:textId="7FF13000" w:rsidR="00146F09" w:rsidRPr="00146F09" w:rsidRDefault="00793101" w:rsidP="009670B2">
      <w:pPr>
        <w:pStyle w:val="ListParagraph"/>
        <w:rPr>
          <w:color w:val="000000"/>
        </w:rPr>
      </w:pPr>
      <w:r>
        <w:t>Having considered</w:t>
      </w:r>
      <w:r w:rsidRPr="00D867CE">
        <w:t xml:space="preserve"> the written representations received during</w:t>
      </w:r>
      <w:r>
        <w:t xml:space="preserve"> the initial and </w:t>
      </w:r>
      <w:r w:rsidRPr="00D867CE">
        <w:t>secondary consultation period</w:t>
      </w:r>
      <w:r>
        <w:t>s, and transcripts of the hearings, the</w:t>
      </w:r>
      <w:r w:rsidR="00146F09" w:rsidRPr="00146F09">
        <w:t xml:space="preserve"> Commission</w:t>
      </w:r>
      <w:r>
        <w:t xml:space="preserve"> will decide whether and to what extent it will</w:t>
      </w:r>
      <w:r w:rsidR="00146F09" w:rsidRPr="00146F09">
        <w:t xml:space="preserve"> revise its initial proposals</w:t>
      </w:r>
      <w:r>
        <w:t>. If it decides to revise its initial proposals,</w:t>
      </w:r>
      <w:r w:rsidR="00146F09" w:rsidRPr="00146F09">
        <w:t xml:space="preserve"> it will </w:t>
      </w:r>
      <w:r>
        <w:t>publish the revised</w:t>
      </w:r>
      <w:r w:rsidR="00C151B2">
        <w:t xml:space="preserve"> proposals and an </w:t>
      </w:r>
      <w:r w:rsidR="00312FFE">
        <w:t>accompanying report</w:t>
      </w:r>
      <w:r w:rsidR="00146F09" w:rsidRPr="00146F09">
        <w:t xml:space="preserve"> before the start of the third consultation period. Any revised proposals and accompanying materials will be published on the Commission’s website and sent to local</w:t>
      </w:r>
      <w:r w:rsidR="00146F09">
        <w:t xml:space="preserve"> display points.</w:t>
      </w:r>
    </w:p>
    <w:p w14:paraId="478F25B2" w14:textId="3C1C1D79" w:rsidR="00146F09" w:rsidRPr="0027046B" w:rsidRDefault="00146F09" w:rsidP="003C5DC0">
      <w:pPr>
        <w:spacing w:line="276" w:lineRule="auto"/>
        <w:jc w:val="both"/>
        <w:rPr>
          <w:rFonts w:eastAsia="Times New Roman" w:cs="Times New Roman"/>
          <w:szCs w:val="24"/>
          <w:lang w:eastAsia="en-GB"/>
        </w:rPr>
      </w:pPr>
    </w:p>
    <w:p w14:paraId="1C073D30" w14:textId="558DB7F6" w:rsidR="0027046B" w:rsidRPr="0027046B" w:rsidRDefault="00491755" w:rsidP="0027046B">
      <w:pPr>
        <w:pStyle w:val="Default"/>
        <w:numPr>
          <w:ilvl w:val="0"/>
          <w:numId w:val="5"/>
        </w:numPr>
        <w:spacing w:line="276" w:lineRule="auto"/>
        <w:ind w:left="0"/>
        <w:jc w:val="both"/>
        <w:rPr>
          <w:rFonts w:ascii="Arial" w:hAnsi="Arial" w:cs="Times New Roman"/>
          <w:color w:val="auto"/>
        </w:rPr>
      </w:pPr>
      <w:r w:rsidRPr="0027046B">
        <w:rPr>
          <w:rFonts w:ascii="Arial" w:hAnsi="Arial" w:cs="Times New Roman"/>
          <w:color w:val="auto"/>
        </w:rPr>
        <w:t>Written r</w:t>
      </w:r>
      <w:r w:rsidR="00146F09" w:rsidRPr="0027046B">
        <w:rPr>
          <w:rFonts w:ascii="Arial" w:hAnsi="Arial" w:cs="Times New Roman"/>
          <w:color w:val="auto"/>
        </w:rPr>
        <w:t xml:space="preserve">epresentations </w:t>
      </w:r>
      <w:r w:rsidR="00AE7C89">
        <w:rPr>
          <w:rFonts w:ascii="Arial" w:hAnsi="Arial" w:cs="Times New Roman"/>
          <w:color w:val="auto"/>
        </w:rPr>
        <w:t>with respect</w:t>
      </w:r>
      <w:r w:rsidR="00146F09" w:rsidRPr="0027046B">
        <w:rPr>
          <w:rFonts w:ascii="Arial" w:hAnsi="Arial" w:cs="Times New Roman"/>
          <w:color w:val="auto"/>
        </w:rPr>
        <w:t xml:space="preserve"> to any revised proposals can be made during the 4 weeks of the third consultation period.</w:t>
      </w:r>
      <w:r w:rsidRPr="0027046B">
        <w:rPr>
          <w:rFonts w:ascii="Arial" w:hAnsi="Arial" w:cs="Times New Roman"/>
          <w:color w:val="auto"/>
        </w:rPr>
        <w:t xml:space="preserve"> </w:t>
      </w:r>
      <w:r w:rsidR="0027046B" w:rsidRPr="0027046B">
        <w:rPr>
          <w:rFonts w:ascii="Arial" w:hAnsi="Arial" w:cs="Times New Roman"/>
          <w:color w:val="auto"/>
        </w:rPr>
        <w:t xml:space="preserve">The Commission will publish all the written representations received during the third consultation period after the consultation period has closed. </w:t>
      </w:r>
    </w:p>
    <w:p w14:paraId="6EC4855D" w14:textId="20E8BF7F" w:rsidR="006408A6" w:rsidRPr="00146F09" w:rsidRDefault="006408A6" w:rsidP="0027046B">
      <w:pPr>
        <w:pStyle w:val="ListParagraph"/>
        <w:numPr>
          <w:ilvl w:val="0"/>
          <w:numId w:val="0"/>
        </w:numPr>
        <w:rPr>
          <w:color w:val="000000"/>
        </w:rPr>
      </w:pPr>
    </w:p>
    <w:p w14:paraId="28075041" w14:textId="39AD6369" w:rsidR="0047606C" w:rsidRPr="0047606C" w:rsidRDefault="0047606C" w:rsidP="003C5DC0">
      <w:pPr>
        <w:pStyle w:val="Default"/>
        <w:spacing w:line="276" w:lineRule="auto"/>
        <w:jc w:val="both"/>
        <w:rPr>
          <w:rFonts w:ascii="Arial" w:eastAsiaTheme="minorHAnsi" w:hAnsi="Arial" w:cs="Arial"/>
          <w:b/>
          <w:color w:val="44546A" w:themeColor="text2"/>
          <w:szCs w:val="22"/>
          <w:lang w:eastAsia="en-US"/>
        </w:rPr>
      </w:pPr>
    </w:p>
    <w:p w14:paraId="5F84608B" w14:textId="5288AD6D" w:rsidR="00B73CD8" w:rsidRPr="00B73CD8" w:rsidRDefault="0047606C" w:rsidP="00B73CD8">
      <w:pPr>
        <w:pStyle w:val="Heading2"/>
        <w:rPr>
          <w:rFonts w:eastAsiaTheme="minorHAnsi"/>
        </w:rPr>
      </w:pPr>
      <w:bookmarkStart w:id="22" w:name="_Toc72949438"/>
      <w:r w:rsidRPr="0047606C">
        <w:rPr>
          <w:rFonts w:eastAsiaTheme="minorHAnsi"/>
        </w:rPr>
        <w:lastRenderedPageBreak/>
        <w:t>Final Recommendations and Report</w:t>
      </w:r>
      <w:bookmarkEnd w:id="22"/>
    </w:p>
    <w:p w14:paraId="58226C46" w14:textId="74789F6A" w:rsidR="00B73CD8" w:rsidRPr="007A3E11" w:rsidRDefault="00B73CD8" w:rsidP="00B54A05">
      <w:pPr>
        <w:pStyle w:val="ListParagraph"/>
        <w:rPr>
          <w:rFonts w:cs="Arial"/>
          <w:color w:val="000000" w:themeColor="text1"/>
        </w:rPr>
      </w:pPr>
      <w:r>
        <w:t xml:space="preserve">After the end of the third consultation period, and taking into account representations received, the Commission will consider what final recommendations to make for Parliamentary constituencies in Northern Ireland. </w:t>
      </w:r>
    </w:p>
    <w:p w14:paraId="55136A6F" w14:textId="77777777" w:rsidR="007A3E11" w:rsidRPr="007A3E11" w:rsidRDefault="007A3E11" w:rsidP="007A3E11">
      <w:pPr>
        <w:pStyle w:val="ListParagraph"/>
        <w:numPr>
          <w:ilvl w:val="0"/>
          <w:numId w:val="0"/>
        </w:numPr>
        <w:rPr>
          <w:rFonts w:cs="Arial"/>
          <w:color w:val="000000" w:themeColor="text1"/>
        </w:rPr>
      </w:pPr>
    </w:p>
    <w:p w14:paraId="37D2A698" w14:textId="37445368" w:rsidR="00C0503C" w:rsidRDefault="0047606C" w:rsidP="00E9211E">
      <w:pPr>
        <w:pStyle w:val="Default"/>
        <w:numPr>
          <w:ilvl w:val="0"/>
          <w:numId w:val="5"/>
        </w:numPr>
        <w:spacing w:line="276" w:lineRule="auto"/>
        <w:ind w:left="0"/>
        <w:jc w:val="both"/>
        <w:rPr>
          <w:rFonts w:ascii="Arial" w:hAnsi="Arial" w:cs="Arial"/>
          <w:color w:val="000000" w:themeColor="text1"/>
        </w:rPr>
      </w:pPr>
      <w:r w:rsidRPr="002B04B8">
        <w:rPr>
          <w:rFonts w:ascii="Arial" w:hAnsi="Arial" w:cs="Arial"/>
          <w:color w:val="000000" w:themeColor="text1"/>
        </w:rPr>
        <w:t>Once the</w:t>
      </w:r>
      <w:r w:rsidR="00A252E5">
        <w:rPr>
          <w:rFonts w:ascii="Arial" w:hAnsi="Arial" w:cs="Arial"/>
          <w:color w:val="000000" w:themeColor="text1"/>
        </w:rPr>
        <w:t xml:space="preserve"> Commission has decided on its final r</w:t>
      </w:r>
      <w:r w:rsidRPr="002B04B8">
        <w:rPr>
          <w:rFonts w:ascii="Arial" w:hAnsi="Arial" w:cs="Arial"/>
          <w:color w:val="000000" w:themeColor="text1"/>
        </w:rPr>
        <w:t>ecommendations</w:t>
      </w:r>
      <w:r w:rsidR="0002229B">
        <w:rPr>
          <w:rFonts w:ascii="Arial" w:hAnsi="Arial" w:cs="Arial"/>
          <w:color w:val="000000" w:themeColor="text1"/>
        </w:rPr>
        <w:t>, it will prepare and submit a r</w:t>
      </w:r>
      <w:r w:rsidRPr="002B04B8">
        <w:rPr>
          <w:rFonts w:ascii="Arial" w:hAnsi="Arial" w:cs="Arial"/>
          <w:color w:val="000000" w:themeColor="text1"/>
        </w:rPr>
        <w:t>eport to the</w:t>
      </w:r>
      <w:r w:rsidR="00C0503C">
        <w:rPr>
          <w:rFonts w:ascii="Arial" w:hAnsi="Arial" w:cs="Arial"/>
          <w:color w:val="000000" w:themeColor="text1"/>
        </w:rPr>
        <w:t xml:space="preserve"> Speaker of the</w:t>
      </w:r>
      <w:r w:rsidRPr="002B04B8">
        <w:rPr>
          <w:rFonts w:ascii="Arial" w:hAnsi="Arial" w:cs="Arial"/>
          <w:color w:val="000000" w:themeColor="text1"/>
        </w:rPr>
        <w:t xml:space="preserve"> House of Commons. The report will be published by the Commission once the Speaker of the House of Commons has laid it before Parliament. </w:t>
      </w:r>
      <w:r w:rsidRPr="00E9211E">
        <w:rPr>
          <w:rFonts w:ascii="Arial" w:hAnsi="Arial" w:cs="Arial"/>
          <w:color w:val="000000" w:themeColor="text1"/>
        </w:rPr>
        <w:t xml:space="preserve">The submission of the Final Report to the </w:t>
      </w:r>
      <w:r w:rsidR="0002229B" w:rsidRPr="00E9211E">
        <w:rPr>
          <w:rFonts w:ascii="Arial" w:hAnsi="Arial" w:cs="Arial"/>
          <w:color w:val="000000" w:themeColor="text1"/>
        </w:rPr>
        <w:t xml:space="preserve">Speaker of the </w:t>
      </w:r>
      <w:r w:rsidRPr="00E9211E">
        <w:rPr>
          <w:rFonts w:ascii="Arial" w:hAnsi="Arial" w:cs="Arial"/>
          <w:color w:val="000000" w:themeColor="text1"/>
        </w:rPr>
        <w:t xml:space="preserve">House of </w:t>
      </w:r>
      <w:r w:rsidRPr="0089685B">
        <w:rPr>
          <w:rFonts w:ascii="Arial" w:hAnsi="Arial" w:cs="Arial"/>
          <w:color w:val="000000" w:themeColor="text1"/>
        </w:rPr>
        <w:t>Commons concludes the Commission’s role in the review process.</w:t>
      </w:r>
      <w:r w:rsidRPr="00E9211E">
        <w:rPr>
          <w:rFonts w:ascii="Arial" w:hAnsi="Arial" w:cs="Arial"/>
          <w:color w:val="000000" w:themeColor="text1"/>
        </w:rPr>
        <w:t xml:space="preserve"> </w:t>
      </w:r>
    </w:p>
    <w:p w14:paraId="53407C3F" w14:textId="77777777" w:rsidR="00E9211E" w:rsidRPr="00E9211E" w:rsidRDefault="00E9211E" w:rsidP="00E9211E">
      <w:pPr>
        <w:pStyle w:val="ListParagraph"/>
        <w:numPr>
          <w:ilvl w:val="0"/>
          <w:numId w:val="0"/>
        </w:numPr>
        <w:rPr>
          <w:rFonts w:cs="Arial"/>
          <w:color w:val="000000" w:themeColor="text1"/>
        </w:rPr>
      </w:pPr>
    </w:p>
    <w:p w14:paraId="4CC5D0F9" w14:textId="5F13D327" w:rsidR="0047606C" w:rsidRPr="002B04B8" w:rsidRDefault="002034AF" w:rsidP="00AC6E7C">
      <w:pPr>
        <w:pStyle w:val="Heading2"/>
      </w:pPr>
      <w:bookmarkStart w:id="23" w:name="_Toc72949439"/>
      <w:r>
        <w:t>After the Final Report</w:t>
      </w:r>
      <w:bookmarkEnd w:id="23"/>
    </w:p>
    <w:p w14:paraId="5BEEB340" w14:textId="41D2A0BC" w:rsidR="0047606C" w:rsidRPr="002B04B8" w:rsidRDefault="0047606C" w:rsidP="00B73CD8">
      <w:pPr>
        <w:pStyle w:val="Default"/>
        <w:numPr>
          <w:ilvl w:val="0"/>
          <w:numId w:val="5"/>
        </w:numPr>
        <w:spacing w:line="276" w:lineRule="auto"/>
        <w:ind w:left="0"/>
        <w:jc w:val="both"/>
        <w:rPr>
          <w:rFonts w:ascii="Arial" w:hAnsi="Arial" w:cs="Arial"/>
          <w:color w:val="000000" w:themeColor="text1"/>
        </w:rPr>
      </w:pPr>
      <w:r w:rsidRPr="002B04B8">
        <w:rPr>
          <w:rFonts w:ascii="Arial" w:hAnsi="Arial" w:cs="Arial"/>
          <w:color w:val="000000" w:themeColor="text1"/>
        </w:rPr>
        <w:t>Once reports from all four Boundary Commissions have been laid before Parliament, the Secretary of State or the Minister for the Cabinet Office must submit to Her Majesty in Council a draft of an Order in Council giving effect to</w:t>
      </w:r>
      <w:r w:rsidR="00F02E45">
        <w:rPr>
          <w:rFonts w:ascii="Arial" w:hAnsi="Arial" w:cs="Arial"/>
          <w:color w:val="000000" w:themeColor="text1"/>
        </w:rPr>
        <w:t xml:space="preserve"> the</w:t>
      </w:r>
      <w:r w:rsidR="003D4F75">
        <w:rPr>
          <w:rFonts w:ascii="Arial" w:hAnsi="Arial" w:cs="Arial"/>
          <w:color w:val="000000" w:themeColor="text1"/>
        </w:rPr>
        <w:t xml:space="preserve"> </w:t>
      </w:r>
      <w:r w:rsidRPr="002B04B8">
        <w:rPr>
          <w:rFonts w:ascii="Arial" w:hAnsi="Arial" w:cs="Arial"/>
          <w:color w:val="000000" w:themeColor="text1"/>
        </w:rPr>
        <w:t>recommendations in the report</w:t>
      </w:r>
      <w:r w:rsidR="00740692">
        <w:rPr>
          <w:rFonts w:ascii="Arial" w:hAnsi="Arial" w:cs="Arial"/>
          <w:color w:val="000000" w:themeColor="text1"/>
        </w:rPr>
        <w:t>s</w:t>
      </w:r>
      <w:r w:rsidRPr="002B04B8">
        <w:rPr>
          <w:rFonts w:ascii="Arial" w:hAnsi="Arial" w:cs="Arial"/>
          <w:color w:val="000000" w:themeColor="text1"/>
        </w:rPr>
        <w:t>.</w:t>
      </w:r>
    </w:p>
    <w:p w14:paraId="6F5F936F" w14:textId="77777777" w:rsidR="0047606C" w:rsidRPr="002B04B8" w:rsidRDefault="0047606C" w:rsidP="002034AF"/>
    <w:p w14:paraId="1FB4C08B" w14:textId="4D2B96CF" w:rsidR="00E9098D" w:rsidRPr="00E9098D" w:rsidRDefault="00C53A60" w:rsidP="00E9098D">
      <w:pPr>
        <w:pStyle w:val="ListParagraph"/>
      </w:pPr>
      <w:r>
        <w:t>In preparing the draft Order in Council, the Government may only</w:t>
      </w:r>
      <w:r w:rsidR="00E9098D" w:rsidRPr="00E9098D">
        <w:t xml:space="preserve"> modify the recommendations </w:t>
      </w:r>
      <w:r>
        <w:t xml:space="preserve">in the report </w:t>
      </w:r>
      <w:r w:rsidR="00E9098D" w:rsidRPr="00E9098D">
        <w:t>of any Pa</w:t>
      </w:r>
      <w:r>
        <w:t>rliamentary Boundary Commission if</w:t>
      </w:r>
      <w:r w:rsidR="00E9098D" w:rsidRPr="00E9098D">
        <w:t xml:space="preserve"> it has been expressly requested to do </w:t>
      </w:r>
      <w:r w:rsidR="00E9098D">
        <w:t>so by the relevant Commission submitting a statement of modifications to the Speaker</w:t>
      </w:r>
      <w:r w:rsidR="00E9098D" w:rsidRPr="00E9098D">
        <w:t>.</w:t>
      </w:r>
      <w:r w:rsidR="00E9098D">
        <w:t xml:space="preserve"> </w:t>
      </w:r>
      <w:r w:rsidR="00E9098D">
        <w:rPr>
          <w:rFonts w:cs="Arial"/>
          <w:color w:val="000000" w:themeColor="text1"/>
        </w:rPr>
        <w:t>If a Commission submits a statement of modifications, the Speaker must lay this before Parliament, and the Commission must also publish it.</w:t>
      </w:r>
    </w:p>
    <w:p w14:paraId="0A00CC1A" w14:textId="77777777" w:rsidR="0047606C" w:rsidRPr="002B04B8" w:rsidRDefault="0047606C" w:rsidP="002034AF"/>
    <w:p w14:paraId="5BA2C5EE" w14:textId="2F45FEB6" w:rsidR="0047606C" w:rsidRPr="002B04B8" w:rsidRDefault="00EB79A6" w:rsidP="003C5DC0">
      <w:pPr>
        <w:pStyle w:val="Default"/>
        <w:numPr>
          <w:ilvl w:val="0"/>
          <w:numId w:val="5"/>
        </w:numPr>
        <w:spacing w:line="276" w:lineRule="auto"/>
        <w:ind w:left="142"/>
        <w:jc w:val="both"/>
        <w:rPr>
          <w:rFonts w:ascii="Arial" w:hAnsi="Arial" w:cs="Arial"/>
          <w:color w:val="000000" w:themeColor="text1"/>
        </w:rPr>
      </w:pPr>
      <w:r>
        <w:rPr>
          <w:rFonts w:ascii="Arial" w:hAnsi="Arial" w:cs="Arial"/>
          <w:color w:val="000000" w:themeColor="text1"/>
        </w:rPr>
        <w:t>The</w:t>
      </w:r>
      <w:r w:rsidR="0047606C" w:rsidRPr="002B04B8">
        <w:rPr>
          <w:rFonts w:ascii="Arial" w:hAnsi="Arial" w:cs="Arial"/>
          <w:color w:val="000000" w:themeColor="text1"/>
        </w:rPr>
        <w:t xml:space="preserve"> </w:t>
      </w:r>
      <w:r w:rsidR="00976D19">
        <w:rPr>
          <w:rFonts w:ascii="Arial" w:hAnsi="Arial" w:cs="Arial"/>
          <w:color w:val="000000" w:themeColor="text1"/>
        </w:rPr>
        <w:t xml:space="preserve">Act specifies that </w:t>
      </w:r>
      <w:r w:rsidR="0039245E">
        <w:rPr>
          <w:rFonts w:ascii="Arial" w:hAnsi="Arial" w:cs="Arial"/>
          <w:color w:val="000000" w:themeColor="text1"/>
        </w:rPr>
        <w:t xml:space="preserve">the </w:t>
      </w:r>
      <w:r w:rsidR="0047606C" w:rsidRPr="002B04B8">
        <w:rPr>
          <w:rFonts w:ascii="Arial" w:hAnsi="Arial" w:cs="Arial"/>
          <w:color w:val="000000" w:themeColor="text1"/>
        </w:rPr>
        <w:t xml:space="preserve">Order in Council </w:t>
      </w:r>
      <w:r>
        <w:rPr>
          <w:rFonts w:ascii="Arial" w:hAnsi="Arial" w:cs="Arial"/>
          <w:color w:val="000000" w:themeColor="text1"/>
        </w:rPr>
        <w:t xml:space="preserve">will not </w:t>
      </w:r>
      <w:r w:rsidR="00AA3110">
        <w:rPr>
          <w:rFonts w:ascii="Arial" w:hAnsi="Arial" w:cs="Arial"/>
          <w:color w:val="000000" w:themeColor="text1"/>
        </w:rPr>
        <w:t>a</w:t>
      </w:r>
      <w:r>
        <w:rPr>
          <w:rFonts w:ascii="Arial" w:hAnsi="Arial" w:cs="Arial"/>
          <w:color w:val="000000" w:themeColor="text1"/>
        </w:rPr>
        <w:t>ffec</w:t>
      </w:r>
      <w:r w:rsidR="00AA3110">
        <w:rPr>
          <w:rFonts w:ascii="Arial" w:hAnsi="Arial" w:cs="Arial"/>
          <w:color w:val="000000" w:themeColor="text1"/>
        </w:rPr>
        <w:t xml:space="preserve">t any Parliamentary election until </w:t>
      </w:r>
      <w:r w:rsidR="00E9098D">
        <w:rPr>
          <w:rFonts w:ascii="Arial" w:hAnsi="Arial" w:cs="Arial"/>
          <w:color w:val="000000" w:themeColor="text1"/>
        </w:rPr>
        <w:t>the dissolution of the Parliament then in being</w:t>
      </w:r>
      <w:r w:rsidR="0047606C" w:rsidRPr="002B04B8">
        <w:rPr>
          <w:rFonts w:ascii="Arial" w:hAnsi="Arial" w:cs="Arial"/>
          <w:color w:val="000000" w:themeColor="text1"/>
        </w:rPr>
        <w:t>. Any by-elections held in the meantime must</w:t>
      </w:r>
      <w:r>
        <w:rPr>
          <w:rFonts w:ascii="Arial" w:hAnsi="Arial" w:cs="Arial"/>
          <w:color w:val="000000" w:themeColor="text1"/>
        </w:rPr>
        <w:t xml:space="preserve"> therefore</w:t>
      </w:r>
      <w:r w:rsidR="0047606C" w:rsidRPr="002B04B8">
        <w:rPr>
          <w:rFonts w:ascii="Arial" w:hAnsi="Arial" w:cs="Arial"/>
          <w:color w:val="000000" w:themeColor="text1"/>
        </w:rPr>
        <w:t xml:space="preserve"> be held on the basis of the old (existing) constituencies.</w:t>
      </w:r>
    </w:p>
    <w:p w14:paraId="0E90160D" w14:textId="77777777" w:rsidR="0047606C" w:rsidRPr="002B04B8" w:rsidRDefault="0047606C" w:rsidP="002034AF"/>
    <w:p w14:paraId="5DDE400B" w14:textId="3E8F37B0" w:rsidR="0095568D" w:rsidRPr="002034AF" w:rsidRDefault="0047606C" w:rsidP="00AC6E7C">
      <w:pPr>
        <w:pStyle w:val="Heading2"/>
        <w:rPr>
          <w:rFonts w:eastAsiaTheme="minorHAnsi"/>
        </w:rPr>
      </w:pPr>
      <w:bookmarkStart w:id="24" w:name="_Toc72949440"/>
      <w:r w:rsidRPr="0047606C">
        <w:rPr>
          <w:rFonts w:eastAsiaTheme="minorHAnsi"/>
        </w:rPr>
        <w:t>Future Reviews</w:t>
      </w:r>
      <w:bookmarkEnd w:id="24"/>
    </w:p>
    <w:p w14:paraId="06EDF1F7" w14:textId="548D499A" w:rsidR="0095568D" w:rsidRPr="0024550F" w:rsidRDefault="0047606C" w:rsidP="009670B2">
      <w:pPr>
        <w:pStyle w:val="ListParagraph"/>
        <w:rPr>
          <w:color w:val="000000"/>
        </w:rPr>
      </w:pPr>
      <w:r w:rsidRPr="002B04B8">
        <w:t>The legislation provides that the next review report is to be submitted</w:t>
      </w:r>
      <w:r w:rsidR="0024550F">
        <w:rPr>
          <w:color w:val="000000"/>
        </w:rPr>
        <w:t xml:space="preserve"> before 1 October 2031.</w:t>
      </w:r>
      <w:r w:rsidR="0095568D" w:rsidRPr="0024550F">
        <w:rPr>
          <w:i/>
        </w:rPr>
        <w:br w:type="page"/>
      </w:r>
    </w:p>
    <w:p w14:paraId="20129F95" w14:textId="723C7881" w:rsidR="0095568D" w:rsidRDefault="0095568D" w:rsidP="00AC6E7C">
      <w:pPr>
        <w:pStyle w:val="Heading1"/>
      </w:pPr>
      <w:bookmarkStart w:id="25" w:name="_Toc72949441"/>
      <w:r w:rsidRPr="00196525">
        <w:lastRenderedPageBreak/>
        <w:t>Appendix A</w:t>
      </w:r>
      <w:r w:rsidR="00AC6E7C">
        <w:t xml:space="preserve">: </w:t>
      </w:r>
      <w:r w:rsidRPr="00196525">
        <w:t>The Constitution of the Boundary Commission of Northern Ireland</w:t>
      </w:r>
      <w:bookmarkEnd w:id="25"/>
    </w:p>
    <w:p w14:paraId="6374E4C9" w14:textId="77777777" w:rsidR="00441EE8" w:rsidRPr="00441EE8" w:rsidRDefault="00441EE8" w:rsidP="00441EE8"/>
    <w:p w14:paraId="78152C1B" w14:textId="688C1718" w:rsidR="0095568D" w:rsidRDefault="0095568D" w:rsidP="001231BD">
      <w:pPr>
        <w:pStyle w:val="MainBody"/>
      </w:pPr>
      <w:r w:rsidRPr="00196525">
        <w:t xml:space="preserve">In accordance with Schedule 1 to the Parliamentary Constituencies Act 1986 (as amended). </w:t>
      </w:r>
    </w:p>
    <w:p w14:paraId="1679EBA8" w14:textId="77777777" w:rsidR="00441EE8" w:rsidRDefault="00441EE8" w:rsidP="001231BD">
      <w:pPr>
        <w:pStyle w:val="MainBody"/>
      </w:pPr>
    </w:p>
    <w:p w14:paraId="35C3512E" w14:textId="01C40AA3" w:rsidR="0095568D" w:rsidRPr="00A24031" w:rsidRDefault="0095568D" w:rsidP="00C57D99">
      <w:pPr>
        <w:pStyle w:val="Heading3"/>
      </w:pPr>
      <w:r w:rsidRPr="00A24031">
        <w:t xml:space="preserve">1. </w:t>
      </w:r>
      <w:r w:rsidR="00F701C2" w:rsidRPr="00A24031">
        <w:t>Chair:</w:t>
      </w:r>
    </w:p>
    <w:p w14:paraId="47F4BAAB" w14:textId="4C5594B9" w:rsidR="0095568D" w:rsidRPr="00F701C2" w:rsidRDefault="0095568D" w:rsidP="00A24031">
      <w:pPr>
        <w:pStyle w:val="MainBody"/>
      </w:pPr>
      <w:r w:rsidRPr="00F701C2">
        <w:t xml:space="preserve">The Speaker of the House of Commons is the Chair of each of the 4 Boundary Commissions. This is an ex officio appointment and the Speaker generally plays no part in the substantive work of the Commission. </w:t>
      </w:r>
    </w:p>
    <w:p w14:paraId="0A375CD2" w14:textId="77777777" w:rsidR="0095568D" w:rsidRPr="0095568D" w:rsidRDefault="0095568D" w:rsidP="00196525">
      <w:pPr>
        <w:pStyle w:val="MainBody"/>
      </w:pPr>
    </w:p>
    <w:p w14:paraId="3F93355D" w14:textId="116BF55A" w:rsidR="0095568D" w:rsidRDefault="0095568D" w:rsidP="00C57D99">
      <w:pPr>
        <w:pStyle w:val="Heading3"/>
      </w:pPr>
      <w:r>
        <w:t xml:space="preserve">2. </w:t>
      </w:r>
      <w:r w:rsidR="00F701C2">
        <w:t>Three other members:</w:t>
      </w:r>
    </w:p>
    <w:p w14:paraId="0EEA6AA4" w14:textId="5E525070" w:rsidR="0095568D" w:rsidRPr="0095568D" w:rsidRDefault="0095568D" w:rsidP="00A24031">
      <w:pPr>
        <w:pStyle w:val="MainBody"/>
      </w:pPr>
      <w:r w:rsidRPr="0095568D">
        <w:t>The Deputy Chair</w:t>
      </w:r>
      <w:r w:rsidR="00441EE8">
        <w:t>,</w:t>
      </w:r>
      <w:r w:rsidRPr="0095568D">
        <w:t xml:space="preserve"> who presides over the Commission’s meetings, is a judge of the High Court appointed by the Lord Chief Justice of Northern Ireland. </w:t>
      </w:r>
    </w:p>
    <w:p w14:paraId="5C1F9382" w14:textId="6B2786C8" w:rsidR="0095568D" w:rsidRPr="0095568D" w:rsidRDefault="0095568D" w:rsidP="00A24031">
      <w:pPr>
        <w:pStyle w:val="MainBody"/>
      </w:pPr>
      <w:r w:rsidRPr="0095568D">
        <w:t xml:space="preserve">Two other members are appointed by the </w:t>
      </w:r>
      <w:r w:rsidR="00E63AA5">
        <w:t>Secretary of State in accordance with the Act</w:t>
      </w:r>
      <w:r w:rsidRPr="0095568D">
        <w:t>. Current membership of the Commission is at Chapter 1.</w:t>
      </w:r>
    </w:p>
    <w:p w14:paraId="42790487" w14:textId="77777777" w:rsidR="0095568D" w:rsidRDefault="0095568D" w:rsidP="00196525">
      <w:pPr>
        <w:pStyle w:val="MainBody"/>
      </w:pPr>
    </w:p>
    <w:p w14:paraId="685C8839" w14:textId="28F4678D" w:rsidR="00F701C2" w:rsidRPr="00F701C2" w:rsidRDefault="0095568D" w:rsidP="00C57D99">
      <w:pPr>
        <w:pStyle w:val="Heading3"/>
      </w:pPr>
      <w:r>
        <w:t>3. Four</w:t>
      </w:r>
      <w:r w:rsidRPr="0095568D">
        <w:t xml:space="preserve"> assessors (available to provide technical a</w:t>
      </w:r>
      <w:r w:rsidR="00F701C2">
        <w:t>dvice and support as necessary):</w:t>
      </w:r>
    </w:p>
    <w:p w14:paraId="40E2D264" w14:textId="77777777" w:rsidR="00F701C2" w:rsidRPr="00526CCC" w:rsidRDefault="00F701C2" w:rsidP="00295A71">
      <w:pPr>
        <w:pStyle w:val="MainBody"/>
        <w:numPr>
          <w:ilvl w:val="0"/>
          <w:numId w:val="25"/>
        </w:numPr>
        <w:spacing w:after="0" w:line="240" w:lineRule="auto"/>
        <w:ind w:left="714" w:hanging="357"/>
        <w:rPr>
          <w:color w:val="000000"/>
        </w:rPr>
      </w:pPr>
      <w:r>
        <w:rPr>
          <w:color w:val="000000"/>
        </w:rPr>
        <w:t xml:space="preserve">The </w:t>
      </w:r>
      <w:r w:rsidRPr="00526CCC">
        <w:rPr>
          <w:color w:val="000000"/>
        </w:rPr>
        <w:t>Registrar General of Births and Deaths in Northern Ireland</w:t>
      </w:r>
    </w:p>
    <w:p w14:paraId="58AE29E8" w14:textId="77777777" w:rsidR="00F701C2" w:rsidRPr="00526CCC" w:rsidRDefault="00F701C2" w:rsidP="00295A71">
      <w:pPr>
        <w:pStyle w:val="MainBody"/>
        <w:numPr>
          <w:ilvl w:val="0"/>
          <w:numId w:val="25"/>
        </w:numPr>
        <w:spacing w:after="0" w:line="240" w:lineRule="auto"/>
        <w:ind w:left="714" w:hanging="357"/>
        <w:rPr>
          <w:color w:val="000000"/>
        </w:rPr>
      </w:pPr>
      <w:r>
        <w:rPr>
          <w:color w:val="000000"/>
        </w:rPr>
        <w:t xml:space="preserve">The </w:t>
      </w:r>
      <w:r w:rsidRPr="00526CCC">
        <w:rPr>
          <w:color w:val="000000"/>
        </w:rPr>
        <w:t>Commissioner of Valuation for Northern Ireland</w:t>
      </w:r>
    </w:p>
    <w:p w14:paraId="2C8A927B" w14:textId="77777777" w:rsidR="00F701C2" w:rsidRPr="00526CCC" w:rsidRDefault="00F701C2" w:rsidP="00295A71">
      <w:pPr>
        <w:pStyle w:val="MainBody"/>
        <w:numPr>
          <w:ilvl w:val="0"/>
          <w:numId w:val="25"/>
        </w:numPr>
        <w:spacing w:after="0" w:line="240" w:lineRule="auto"/>
        <w:ind w:left="714" w:hanging="357"/>
        <w:rPr>
          <w:color w:val="000000"/>
        </w:rPr>
      </w:pPr>
      <w:r>
        <w:rPr>
          <w:color w:val="000000"/>
        </w:rPr>
        <w:t xml:space="preserve">The </w:t>
      </w:r>
      <w:r w:rsidRPr="00526CCC">
        <w:rPr>
          <w:color w:val="000000"/>
        </w:rPr>
        <w:t>Chief Electoral Officer for Northern Ireland</w:t>
      </w:r>
    </w:p>
    <w:p w14:paraId="5B22536C" w14:textId="77777777" w:rsidR="00F701C2" w:rsidRPr="00121CD3" w:rsidRDefault="00F701C2" w:rsidP="00295A71">
      <w:pPr>
        <w:pStyle w:val="MainBody"/>
        <w:numPr>
          <w:ilvl w:val="0"/>
          <w:numId w:val="25"/>
        </w:numPr>
        <w:spacing w:after="0" w:line="240" w:lineRule="auto"/>
        <w:ind w:left="714" w:hanging="357"/>
        <w:rPr>
          <w:color w:val="000000"/>
        </w:rPr>
      </w:pPr>
      <w:r>
        <w:rPr>
          <w:color w:val="000000"/>
        </w:rPr>
        <w:t xml:space="preserve">The </w:t>
      </w:r>
      <w:r w:rsidRPr="00526CCC">
        <w:rPr>
          <w:color w:val="000000"/>
        </w:rPr>
        <w:t>Chief Survey Office</w:t>
      </w:r>
      <w:r>
        <w:rPr>
          <w:color w:val="000000"/>
        </w:rPr>
        <w:t>r of Land and Property Services</w:t>
      </w:r>
    </w:p>
    <w:p w14:paraId="31C275D9" w14:textId="77777777" w:rsidR="0095568D" w:rsidRDefault="0095568D" w:rsidP="00196525">
      <w:pPr>
        <w:pStyle w:val="MainBody"/>
      </w:pPr>
    </w:p>
    <w:p w14:paraId="5EBEBDE7" w14:textId="77777777" w:rsidR="00F701C2" w:rsidRDefault="00F701C2" w:rsidP="00C57D99">
      <w:pPr>
        <w:pStyle w:val="Heading3"/>
      </w:pPr>
      <w:r>
        <w:t>4. Secretary:</w:t>
      </w:r>
    </w:p>
    <w:p w14:paraId="71A3E347" w14:textId="1C90634B" w:rsidR="00F701C2" w:rsidRDefault="00F701C2" w:rsidP="00196525">
      <w:pPr>
        <w:pStyle w:val="MainBody"/>
      </w:pPr>
      <w:r w:rsidRPr="00F701C2">
        <w:t>The S</w:t>
      </w:r>
      <w:r w:rsidR="0095568D" w:rsidRPr="00F701C2">
        <w:t>ecretary is</w:t>
      </w:r>
      <w:r w:rsidR="00E63AA5">
        <w:t xml:space="preserve"> appointed by the Secretary of State in accordance with the Act</w:t>
      </w:r>
      <w:r w:rsidR="00E63AA5" w:rsidRPr="0095568D">
        <w:t xml:space="preserve">. </w:t>
      </w:r>
      <w:r w:rsidR="0095568D" w:rsidRPr="00F701C2">
        <w:t xml:space="preserve"> </w:t>
      </w:r>
    </w:p>
    <w:p w14:paraId="1A1BD279" w14:textId="77777777" w:rsidR="00E709A4" w:rsidRPr="00F701C2" w:rsidRDefault="00E709A4" w:rsidP="00196525">
      <w:pPr>
        <w:pStyle w:val="MainBody"/>
      </w:pPr>
    </w:p>
    <w:p w14:paraId="0925C710" w14:textId="77777777" w:rsidR="00F701C2" w:rsidRDefault="0095568D" w:rsidP="00C57D99">
      <w:pPr>
        <w:pStyle w:val="Heading3"/>
      </w:pPr>
      <w:r w:rsidRPr="0095568D">
        <w:t xml:space="preserve">5. Assistant Commissioners </w:t>
      </w:r>
    </w:p>
    <w:p w14:paraId="55FC2DC4" w14:textId="3EFB87D7" w:rsidR="0095568D" w:rsidRPr="00F701C2" w:rsidRDefault="0095568D" w:rsidP="00A24031">
      <w:pPr>
        <w:pStyle w:val="MainBody"/>
      </w:pPr>
      <w:r w:rsidRPr="00F701C2">
        <w:t xml:space="preserve">The </w:t>
      </w:r>
      <w:r w:rsidR="003D4634">
        <w:t xml:space="preserve">Secretary of State </w:t>
      </w:r>
      <w:r w:rsidRPr="00F701C2">
        <w:t>may, at the request of the Commission, appoint one or more Assistant Commissioners to assist the Comm</w:t>
      </w:r>
      <w:r w:rsidR="003D4634">
        <w:t>ission in the discharge of its</w:t>
      </w:r>
      <w:r w:rsidRPr="00F701C2">
        <w:t xml:space="preserve"> functions. Assistant Commissioners appointed may, for example, serve as Chairs at the public hearings.</w:t>
      </w:r>
    </w:p>
    <w:p w14:paraId="743EF7C8" w14:textId="7BA4BD09" w:rsidR="00EA2510" w:rsidRPr="00AC6E7C" w:rsidRDefault="00EA2510" w:rsidP="00AC6E7C">
      <w:pPr>
        <w:pStyle w:val="Heading1"/>
        <w:rPr>
          <w:color w:val="auto"/>
        </w:rPr>
      </w:pPr>
      <w:r>
        <w:br w:type="page"/>
      </w:r>
      <w:bookmarkStart w:id="26" w:name="_Toc72949442"/>
      <w:r w:rsidRPr="00EA2510">
        <w:lastRenderedPageBreak/>
        <w:t>Appendix B</w:t>
      </w:r>
      <w:r w:rsidR="00AC6E7C">
        <w:t xml:space="preserve">: </w:t>
      </w:r>
      <w:r w:rsidRPr="00EA2510">
        <w:t>Schedule 2 to the Parliamentary Constituencies Act (as amended)</w:t>
      </w:r>
      <w:bookmarkEnd w:id="26"/>
    </w:p>
    <w:p w14:paraId="7A85F62B" w14:textId="25804A1E" w:rsidR="008600B8" w:rsidRDefault="000A5C3E" w:rsidP="00AC6E7C">
      <w:pPr>
        <w:pStyle w:val="Heading2"/>
      </w:pPr>
      <w:bookmarkStart w:id="27" w:name="_Toc72752272"/>
      <w:bookmarkStart w:id="28" w:name="_Toc72949443"/>
      <w:r>
        <w:t>Rules for Distribution of Seats</w:t>
      </w:r>
      <w:bookmarkEnd w:id="27"/>
      <w:bookmarkEnd w:id="28"/>
    </w:p>
    <w:p w14:paraId="45A824DC" w14:textId="77777777" w:rsidR="00A638D3" w:rsidRPr="00A638D3" w:rsidRDefault="00A638D3" w:rsidP="00A638D3">
      <w:pPr>
        <w:pStyle w:val="Heading20"/>
      </w:pPr>
    </w:p>
    <w:p w14:paraId="6F36E7F6" w14:textId="1448B53E" w:rsidR="003F154C" w:rsidRPr="005A37F1" w:rsidRDefault="003F154C" w:rsidP="00A250A4">
      <w:pPr>
        <w:pStyle w:val="LegHeading1"/>
      </w:pPr>
      <w:r>
        <w:t>Number of constituencies</w:t>
      </w:r>
    </w:p>
    <w:p w14:paraId="160222CF" w14:textId="0B397160" w:rsidR="003F154C" w:rsidRPr="00953964" w:rsidRDefault="003F154C" w:rsidP="00F82966">
      <w:pPr>
        <w:pStyle w:val="MainBody"/>
        <w:numPr>
          <w:ilvl w:val="0"/>
          <w:numId w:val="35"/>
        </w:numPr>
        <w:tabs>
          <w:tab w:val="left" w:pos="-76"/>
        </w:tabs>
        <w:ind w:left="0"/>
      </w:pPr>
      <w:r w:rsidRPr="003F154C">
        <w:t xml:space="preserve">The number of constituencies in the United Kingdom shall be </w:t>
      </w:r>
      <w:r w:rsidRPr="00F82966">
        <w:t>650.</w:t>
      </w:r>
    </w:p>
    <w:p w14:paraId="2F2533C6" w14:textId="2CC4C866" w:rsidR="003F154C" w:rsidRPr="005A37F1" w:rsidRDefault="003F154C" w:rsidP="00A250A4">
      <w:pPr>
        <w:pStyle w:val="LegHeading1"/>
      </w:pPr>
      <w:r>
        <w:t>Electorate per constituency</w:t>
      </w:r>
    </w:p>
    <w:p w14:paraId="4D655F35" w14:textId="0D2A59D4" w:rsidR="003F154C" w:rsidRPr="005A37F1" w:rsidRDefault="00A159E6" w:rsidP="005A37F1">
      <w:pPr>
        <w:pStyle w:val="MainBody"/>
        <w:numPr>
          <w:ilvl w:val="0"/>
          <w:numId w:val="35"/>
        </w:numPr>
        <w:ind w:left="0"/>
      </w:pPr>
      <w:r>
        <w:t xml:space="preserve">(1) </w:t>
      </w:r>
      <w:r w:rsidR="003F154C" w:rsidRPr="00A159E6">
        <w:t xml:space="preserve">The electorate of any constituency shall be- </w:t>
      </w:r>
    </w:p>
    <w:p w14:paraId="450261B9" w14:textId="77777777" w:rsidR="003F154C" w:rsidRDefault="003F154C" w:rsidP="00A159E6">
      <w:pPr>
        <w:pStyle w:val="MainBody"/>
      </w:pPr>
      <w:r>
        <w:t>(a) no less than 95% of the United Kingdom electoral quota, and</w:t>
      </w:r>
    </w:p>
    <w:p w14:paraId="076BDE83" w14:textId="77777777" w:rsidR="003F154C" w:rsidRDefault="003F154C" w:rsidP="00A159E6">
      <w:pPr>
        <w:pStyle w:val="MainBody"/>
      </w:pPr>
      <w:r>
        <w:t>(b) no more than 105% of that quota.</w:t>
      </w:r>
    </w:p>
    <w:p w14:paraId="5043F512" w14:textId="77777777" w:rsidR="003F154C" w:rsidRDefault="003F154C" w:rsidP="004470AA">
      <w:pPr>
        <w:ind w:hanging="2"/>
        <w:jc w:val="both"/>
        <w:rPr>
          <w:color w:val="FF0000"/>
        </w:rPr>
      </w:pPr>
    </w:p>
    <w:p w14:paraId="3C3E22F8" w14:textId="6627ED8F" w:rsidR="003F154C" w:rsidRPr="00F82966" w:rsidRDefault="003F154C" w:rsidP="00F82966">
      <w:pPr>
        <w:pStyle w:val="MainBody"/>
      </w:pPr>
      <w:r>
        <w:t>(2) This rule is subject to rules 4(2), 6(3) and 7.</w:t>
      </w:r>
    </w:p>
    <w:p w14:paraId="7234D10E" w14:textId="35BF29CC" w:rsidR="003F154C" w:rsidRPr="00953964" w:rsidRDefault="003F154C" w:rsidP="00953964">
      <w:pPr>
        <w:pStyle w:val="MainBody"/>
      </w:pPr>
      <w:r>
        <w:t>(3) In this Schedule the “United Kingdom electoral quota” means-</w:t>
      </w:r>
    </w:p>
    <w:p w14:paraId="6F44F73A" w14:textId="6DF7C3FE" w:rsidR="003F154C" w:rsidRPr="00A159E6" w:rsidRDefault="003F154C" w:rsidP="00A159E6">
      <w:pPr>
        <w:pStyle w:val="MainBody"/>
        <w:jc w:val="center"/>
        <w:rPr>
          <w:u w:val="single"/>
        </w:rPr>
      </w:pPr>
      <w:r w:rsidRPr="00A159E6">
        <w:rPr>
          <w:u w:val="single"/>
        </w:rPr>
        <w:t>U</w:t>
      </w:r>
    </w:p>
    <w:p w14:paraId="369DBAC5" w14:textId="01B33A40" w:rsidR="003F154C" w:rsidRPr="00953964" w:rsidRDefault="003F154C" w:rsidP="00953964">
      <w:pPr>
        <w:pStyle w:val="MainBody"/>
        <w:jc w:val="center"/>
      </w:pPr>
      <w:r w:rsidRPr="00A159E6">
        <w:t>645</w:t>
      </w:r>
    </w:p>
    <w:p w14:paraId="5C0C283D" w14:textId="53CE5322" w:rsidR="003F154C" w:rsidRDefault="003F154C" w:rsidP="00953964">
      <w:pPr>
        <w:pStyle w:val="MainBody"/>
      </w:pPr>
      <w:r>
        <w:t>where U is the electorate of the United Kingdom minus the electorate of the constituencies mentioned in rule 6.</w:t>
      </w:r>
    </w:p>
    <w:p w14:paraId="2D582DCD" w14:textId="77777777" w:rsidR="00953964" w:rsidRDefault="00953964" w:rsidP="00953964">
      <w:pPr>
        <w:pStyle w:val="MainBody"/>
      </w:pPr>
    </w:p>
    <w:p w14:paraId="4F41439C" w14:textId="3ED48A10" w:rsidR="003F154C" w:rsidRPr="005A37F1" w:rsidRDefault="003F154C" w:rsidP="00A250A4">
      <w:pPr>
        <w:pStyle w:val="LegHeading1"/>
      </w:pPr>
      <w:r>
        <w:t>Allocation of constituencies to parts of the United Kingdom</w:t>
      </w:r>
    </w:p>
    <w:p w14:paraId="3BBFD59A" w14:textId="5A46F4C9" w:rsidR="003F154C" w:rsidRPr="00953964" w:rsidRDefault="003F154C" w:rsidP="00953964">
      <w:pPr>
        <w:pStyle w:val="MainBody"/>
        <w:numPr>
          <w:ilvl w:val="0"/>
          <w:numId w:val="35"/>
        </w:numPr>
        <w:ind w:left="0"/>
      </w:pPr>
      <w:r w:rsidRPr="003F154C">
        <w:t>(1) Each constituency shall be wholly in one of the four parts of the United Kingdom (England, Wales, Scotland and Northern Ireland).</w:t>
      </w:r>
    </w:p>
    <w:p w14:paraId="497243C5" w14:textId="77777777" w:rsidR="003F154C" w:rsidRDefault="003F154C" w:rsidP="00D5341F">
      <w:pPr>
        <w:pStyle w:val="MainBody"/>
      </w:pPr>
      <w:r>
        <w:t>(2) The number of constituencies in each part of the United Kingdom shall be determined in accordance with the allocation method set out in rule 8.</w:t>
      </w:r>
    </w:p>
    <w:p w14:paraId="57408691" w14:textId="77777777" w:rsidR="00A41D2D" w:rsidRDefault="00A41D2D" w:rsidP="00D5341F">
      <w:pPr>
        <w:pStyle w:val="MainBody"/>
      </w:pPr>
    </w:p>
    <w:p w14:paraId="4746FFC3" w14:textId="60CDEE6C" w:rsidR="003F154C" w:rsidRPr="00A41D2D" w:rsidRDefault="003F154C" w:rsidP="00A41D2D">
      <w:pPr>
        <w:pStyle w:val="LegHeading1"/>
        <w:rPr>
          <w:color w:val="FF0000"/>
        </w:rPr>
      </w:pPr>
      <w:r>
        <w:t>Area of constituencies</w:t>
      </w:r>
    </w:p>
    <w:p w14:paraId="50F015D7" w14:textId="27D2F474" w:rsidR="003F154C" w:rsidRDefault="00841F66" w:rsidP="00A154EE">
      <w:pPr>
        <w:pStyle w:val="MainBody"/>
        <w:numPr>
          <w:ilvl w:val="0"/>
          <w:numId w:val="35"/>
        </w:numPr>
        <w:ind w:left="0"/>
      </w:pPr>
      <w:r w:rsidRPr="003F154C">
        <w:t xml:space="preserve"> </w:t>
      </w:r>
      <w:r w:rsidR="003F154C" w:rsidRPr="003F154C">
        <w:t>(1) A constituency shall not have an area of more than 13,000 square kilometres.</w:t>
      </w:r>
    </w:p>
    <w:p w14:paraId="22205F33" w14:textId="655CEC07" w:rsidR="003F154C" w:rsidRDefault="003F154C" w:rsidP="00953964">
      <w:pPr>
        <w:pStyle w:val="MainBody"/>
        <w:ind w:left="142"/>
      </w:pPr>
      <w:r>
        <w:t>(2) A constituency does not have to comply with rule 2(1)(a) if-</w:t>
      </w:r>
    </w:p>
    <w:p w14:paraId="4EF0F48E" w14:textId="77777777" w:rsidR="003F154C" w:rsidRDefault="003F154C" w:rsidP="00A154EE">
      <w:pPr>
        <w:pStyle w:val="MainBody"/>
      </w:pPr>
      <w:r>
        <w:t>(a) it has an area of more than 12,000 square kilometres, and</w:t>
      </w:r>
    </w:p>
    <w:p w14:paraId="712A4A5F" w14:textId="6DC2D1ED" w:rsidR="003F154C" w:rsidRPr="00962B61" w:rsidRDefault="003F154C" w:rsidP="00962B61">
      <w:pPr>
        <w:pStyle w:val="MainBody"/>
      </w:pPr>
      <w:r>
        <w:t>(b) the Boundary Commission concerned are satisfied that it is not reasonably possible for the constituency to comply with that rule.</w:t>
      </w:r>
    </w:p>
    <w:p w14:paraId="1E1F2B85" w14:textId="77777777" w:rsidR="0043597F" w:rsidRDefault="0043597F">
      <w:pPr>
        <w:rPr>
          <w:i/>
        </w:rPr>
      </w:pPr>
      <w:r>
        <w:br w:type="page"/>
      </w:r>
    </w:p>
    <w:p w14:paraId="44A913E7" w14:textId="38C5FA46" w:rsidR="008600B8" w:rsidRDefault="003F154C" w:rsidP="00A250A4">
      <w:pPr>
        <w:pStyle w:val="LegHeading1"/>
      </w:pPr>
      <w:r>
        <w:lastRenderedPageBreak/>
        <w:t>Factors</w:t>
      </w:r>
    </w:p>
    <w:p w14:paraId="5F136FF9" w14:textId="3EB9810C" w:rsidR="003F154C" w:rsidRDefault="003F154C" w:rsidP="00A250A4">
      <w:pPr>
        <w:pStyle w:val="MainBodyItalic"/>
      </w:pPr>
      <w:r>
        <w:t>(1) A Boundary Commission may take into account, if and to such extent as they think fit-</w:t>
      </w:r>
    </w:p>
    <w:p w14:paraId="07BB79C7" w14:textId="77777777" w:rsidR="003F154C" w:rsidRDefault="003F154C" w:rsidP="00754C67">
      <w:pPr>
        <w:pStyle w:val="MainBody"/>
        <w:spacing w:after="0" w:line="240" w:lineRule="auto"/>
      </w:pPr>
      <w:r>
        <w:t>(a) special geographical considerations, including in particular the size, shape and accessibility of a constituency;</w:t>
      </w:r>
    </w:p>
    <w:p w14:paraId="3E3B845C" w14:textId="77777777" w:rsidR="003F154C" w:rsidRDefault="003F154C" w:rsidP="00754C67">
      <w:pPr>
        <w:pStyle w:val="MainBody"/>
        <w:spacing w:after="0" w:line="240" w:lineRule="auto"/>
      </w:pPr>
      <w:r>
        <w:t xml:space="preserve">(b) local </w:t>
      </w:r>
      <w:r w:rsidRPr="00953964">
        <w:t xml:space="preserve">government boundaries which exist, or are prospective, on the review </w:t>
      </w:r>
      <w:r>
        <w:t>date;</w:t>
      </w:r>
    </w:p>
    <w:p w14:paraId="0C5198B0" w14:textId="77777777" w:rsidR="003F154C" w:rsidRDefault="003F154C" w:rsidP="00754C67">
      <w:pPr>
        <w:pStyle w:val="MainBody"/>
        <w:spacing w:after="0" w:line="240" w:lineRule="auto"/>
      </w:pPr>
      <w:r>
        <w:t>(c)  boundaries of existing constituencies;</w:t>
      </w:r>
    </w:p>
    <w:p w14:paraId="315B548E" w14:textId="77777777" w:rsidR="003F154C" w:rsidRDefault="003F154C" w:rsidP="00754C67">
      <w:pPr>
        <w:pStyle w:val="MainBody"/>
        <w:spacing w:after="0" w:line="240" w:lineRule="auto"/>
      </w:pPr>
      <w:r>
        <w:t>(d)  any local ties that would be broken by changes in constituencies;</w:t>
      </w:r>
    </w:p>
    <w:p w14:paraId="17C7A368" w14:textId="77777777" w:rsidR="003F154C" w:rsidRDefault="003F154C" w:rsidP="00754C67">
      <w:pPr>
        <w:pStyle w:val="MainBody"/>
        <w:spacing w:after="0" w:line="240" w:lineRule="auto"/>
      </w:pPr>
      <w:r>
        <w:t>(e)  the inconveniences attendant on such changes.</w:t>
      </w:r>
    </w:p>
    <w:p w14:paraId="60D47BC2" w14:textId="77777777" w:rsidR="003F154C" w:rsidRDefault="003F154C" w:rsidP="004470AA">
      <w:pPr>
        <w:ind w:hanging="2"/>
        <w:jc w:val="both"/>
        <w:rPr>
          <w:color w:val="FF0000"/>
        </w:rPr>
      </w:pPr>
    </w:p>
    <w:p w14:paraId="621B2941" w14:textId="44A9BD6B" w:rsidR="003F154C" w:rsidRDefault="003F154C" w:rsidP="008600B8">
      <w:pPr>
        <w:pStyle w:val="MainBody"/>
      </w:pPr>
      <w:r>
        <w:t>(1A) In the case of a local government boundary which is prospective on the review date, it is that boundary rather than any existing boundary which it replaces, which may be taken into account under sub-paragraph (1)(b).</w:t>
      </w:r>
    </w:p>
    <w:p w14:paraId="78F91870" w14:textId="2FD7C352" w:rsidR="003F154C" w:rsidRPr="00672610" w:rsidRDefault="003F154C" w:rsidP="00672610">
      <w:pPr>
        <w:pStyle w:val="MainBody"/>
        <w:rPr>
          <w:i/>
        </w:rPr>
      </w:pPr>
      <w:r>
        <w:t xml:space="preserve">(2) The Boundary Commission for England may take into account, if and to such extent as they </w:t>
      </w:r>
      <w:r w:rsidRPr="00161A4B">
        <w:t>think fit, boundaries of the English regions specified in sub-paragraph (2A) as they exist on the most recent ordinary council-election day before the review date.</w:t>
      </w:r>
    </w:p>
    <w:p w14:paraId="2A362593" w14:textId="77ADC89F" w:rsidR="003F154C" w:rsidRPr="00F81437" w:rsidRDefault="003F154C" w:rsidP="00672610">
      <w:pPr>
        <w:pStyle w:val="MainBody"/>
        <w:rPr>
          <w:i/>
        </w:rPr>
      </w:pPr>
      <w:r>
        <w:rPr>
          <w:i/>
        </w:rPr>
        <w:t>(2A)</w:t>
      </w:r>
      <w:r>
        <w:t xml:space="preserve"> </w:t>
      </w:r>
      <w:r>
        <w:rPr>
          <w:i/>
        </w:rPr>
        <w:t xml:space="preserve">[See full table of areas contained in each English region </w:t>
      </w:r>
      <w:hyperlink r:id="rId16">
        <w:r>
          <w:rPr>
            <w:i/>
            <w:color w:val="1155CC"/>
            <w:u w:val="single"/>
          </w:rPr>
          <w:t>here</w:t>
        </w:r>
      </w:hyperlink>
      <w:r>
        <w:rPr>
          <w:i/>
        </w:rPr>
        <w:t>].</w:t>
      </w:r>
    </w:p>
    <w:p w14:paraId="7A4C492C" w14:textId="77777777" w:rsidR="003F154C" w:rsidRDefault="003F154C" w:rsidP="0083791D">
      <w:pPr>
        <w:pStyle w:val="MainBody"/>
      </w:pPr>
      <w:r>
        <w:t>(3) This rule has effect subject to rules 2 and 4.</w:t>
      </w:r>
    </w:p>
    <w:p w14:paraId="5BA015D8" w14:textId="77777777" w:rsidR="003F154C" w:rsidRDefault="003F154C" w:rsidP="004470AA">
      <w:pPr>
        <w:ind w:hanging="2"/>
        <w:jc w:val="both"/>
        <w:rPr>
          <w:color w:val="FF0000"/>
        </w:rPr>
      </w:pPr>
    </w:p>
    <w:p w14:paraId="7BF63E25" w14:textId="1F27DDA0" w:rsidR="003F154C" w:rsidRPr="008C7CA6" w:rsidRDefault="003F154C" w:rsidP="008C7CA6">
      <w:pPr>
        <w:pStyle w:val="LegHeading1"/>
      </w:pPr>
      <w:r>
        <w:t>Protected constituencies</w:t>
      </w:r>
    </w:p>
    <w:p w14:paraId="11845101" w14:textId="3E8B31A1" w:rsidR="003F154C" w:rsidRPr="008C7CA6" w:rsidRDefault="003F154C" w:rsidP="00A250A4">
      <w:pPr>
        <w:pStyle w:val="MainBodyItalic"/>
      </w:pPr>
      <w:r w:rsidRPr="00142257">
        <w:t xml:space="preserve">(1) </w:t>
      </w:r>
      <w:r w:rsidRPr="008C7CA6">
        <w:t>There shall be two constituencies in the Isle of Wight.</w:t>
      </w:r>
    </w:p>
    <w:p w14:paraId="1C2454DA" w14:textId="77777777" w:rsidR="003F154C" w:rsidRDefault="003F154C" w:rsidP="00BC042A">
      <w:pPr>
        <w:pStyle w:val="MainBody"/>
      </w:pPr>
      <w:r>
        <w:t xml:space="preserve">(2) There shall continue to be- </w:t>
      </w:r>
    </w:p>
    <w:p w14:paraId="38D7FF98" w14:textId="77777777" w:rsidR="003F154C" w:rsidRDefault="003F154C" w:rsidP="00F81437">
      <w:pPr>
        <w:pStyle w:val="MainBody"/>
        <w:spacing w:after="0" w:line="240" w:lineRule="auto"/>
      </w:pPr>
      <w:r>
        <w:t>(a) a constituency named Orkney and Shetland, comprising the areas of the Orkney Islands Council and the Shetland Islands Council;</w:t>
      </w:r>
    </w:p>
    <w:p w14:paraId="5175403C" w14:textId="77777777" w:rsidR="003F154C" w:rsidRDefault="003F154C" w:rsidP="00F81437">
      <w:pPr>
        <w:pStyle w:val="MainBody"/>
        <w:spacing w:after="0" w:line="240" w:lineRule="auto"/>
      </w:pPr>
      <w:r>
        <w:t>(b) a constituency named Na h-Eileanan an Iar, comprising the area of Comhairle nan Eilean Siar;</w:t>
      </w:r>
    </w:p>
    <w:p w14:paraId="784FF739" w14:textId="7B601C73" w:rsidR="003F154C" w:rsidRDefault="003F154C" w:rsidP="00A250A4">
      <w:pPr>
        <w:pStyle w:val="MainBody"/>
        <w:spacing w:after="0" w:line="240" w:lineRule="auto"/>
      </w:pPr>
      <w:r w:rsidRPr="00584C35">
        <w:t>(c) a constituency named Ynys Mon, comprising the area of the Isle of Anglesey County Council.</w:t>
      </w:r>
    </w:p>
    <w:p w14:paraId="2ECC4D8E" w14:textId="77777777" w:rsidR="003F154C" w:rsidRDefault="003F154C" w:rsidP="00BC042A">
      <w:pPr>
        <w:pStyle w:val="MainBody"/>
      </w:pPr>
      <w:r>
        <w:t>(3) Rule 2 does not apply to these constituencies.</w:t>
      </w:r>
    </w:p>
    <w:p w14:paraId="1141AD79" w14:textId="77777777" w:rsidR="00584C35" w:rsidRDefault="00584C35" w:rsidP="00A250A4">
      <w:pPr>
        <w:pStyle w:val="MainBodyItalic"/>
        <w:numPr>
          <w:ilvl w:val="0"/>
          <w:numId w:val="0"/>
        </w:numPr>
      </w:pPr>
    </w:p>
    <w:p w14:paraId="09BC868A" w14:textId="77777777" w:rsidR="003F154C" w:rsidRDefault="003F154C" w:rsidP="00A250A4">
      <w:pPr>
        <w:pStyle w:val="LegHeading1"/>
      </w:pPr>
      <w:r>
        <w:t>Northern Ireland</w:t>
      </w:r>
    </w:p>
    <w:p w14:paraId="363C40C3" w14:textId="33D0D502" w:rsidR="003F154C" w:rsidRDefault="003F154C" w:rsidP="00A250A4">
      <w:pPr>
        <w:pStyle w:val="MainBodyItalic"/>
      </w:pPr>
      <w:r>
        <w:t xml:space="preserve">(1) In relation to Northern Ireland, sub-paragraph (2) below applies in place of rule 2 where- </w:t>
      </w:r>
    </w:p>
    <w:p w14:paraId="408D498A" w14:textId="77777777" w:rsidR="003F154C" w:rsidRDefault="003F154C" w:rsidP="00C67935">
      <w:pPr>
        <w:pStyle w:val="MainBody"/>
        <w:spacing w:after="0" w:line="240" w:lineRule="auto"/>
      </w:pPr>
      <w:r>
        <w:t xml:space="preserve">(a) the difference between-  </w:t>
      </w:r>
    </w:p>
    <w:p w14:paraId="074AFEAA" w14:textId="77777777" w:rsidR="003F154C" w:rsidRDefault="003F154C" w:rsidP="00C67935">
      <w:pPr>
        <w:pStyle w:val="MainBody"/>
        <w:spacing w:after="0" w:line="240" w:lineRule="auto"/>
      </w:pPr>
      <w:r>
        <w:t xml:space="preserve">(i) the electorate of Northern Ireland, and </w:t>
      </w:r>
    </w:p>
    <w:p w14:paraId="631876D4" w14:textId="77777777" w:rsidR="003F154C" w:rsidRDefault="003F154C" w:rsidP="00C67935">
      <w:pPr>
        <w:pStyle w:val="MainBody"/>
        <w:spacing w:after="0" w:line="240" w:lineRule="auto"/>
      </w:pPr>
      <w:r>
        <w:t xml:space="preserve">(ii) the United Kingdom electoral quota multiplied by the number of seats in Northern Ireland (determined under rule 8), </w:t>
      </w:r>
    </w:p>
    <w:p w14:paraId="04122DBD" w14:textId="52317D58" w:rsidR="003F154C" w:rsidRPr="00F67F7E" w:rsidRDefault="003F154C" w:rsidP="00F67F7E">
      <w:pPr>
        <w:pStyle w:val="MainBody"/>
      </w:pPr>
      <w:r>
        <w:t>exceeds one third of the United Kingdom electoral quota, and</w:t>
      </w:r>
    </w:p>
    <w:p w14:paraId="48716581" w14:textId="77777777" w:rsidR="003F154C" w:rsidRDefault="003F154C" w:rsidP="00A217E8">
      <w:pPr>
        <w:pStyle w:val="MainBody"/>
      </w:pPr>
      <w:r>
        <w:lastRenderedPageBreak/>
        <w:t>(b) the Boundary Commission for Northern Ireland consider that having to apply rule 2 would unreasonably impair-</w:t>
      </w:r>
    </w:p>
    <w:p w14:paraId="414FE865" w14:textId="77777777" w:rsidR="003F154C" w:rsidRDefault="003F154C" w:rsidP="00C67935">
      <w:pPr>
        <w:pStyle w:val="MainBody"/>
        <w:spacing w:after="0" w:line="240" w:lineRule="auto"/>
      </w:pPr>
      <w:r>
        <w:t>(i) their ability to take into account the factors set out in rule 5(1), or</w:t>
      </w:r>
    </w:p>
    <w:p w14:paraId="31933F10" w14:textId="77777777" w:rsidR="003F154C" w:rsidRDefault="003F154C" w:rsidP="00C67935">
      <w:pPr>
        <w:pStyle w:val="MainBody"/>
        <w:spacing w:after="0" w:line="240" w:lineRule="auto"/>
      </w:pPr>
      <w:r>
        <w:t>(ii) their ability to comply with section 3(2) of this Act.</w:t>
      </w:r>
    </w:p>
    <w:p w14:paraId="78E71084" w14:textId="77777777" w:rsidR="003F154C" w:rsidRDefault="003F154C" w:rsidP="004470AA">
      <w:pPr>
        <w:ind w:hanging="2"/>
        <w:jc w:val="both"/>
        <w:rPr>
          <w:color w:val="FF0000"/>
        </w:rPr>
      </w:pPr>
    </w:p>
    <w:p w14:paraId="537191A3" w14:textId="77777777" w:rsidR="003F154C" w:rsidRDefault="003F154C" w:rsidP="00A217E8">
      <w:pPr>
        <w:pStyle w:val="MainBody"/>
      </w:pPr>
      <w:r>
        <w:t>(2) The electorate of any constituency shall be-</w:t>
      </w:r>
    </w:p>
    <w:p w14:paraId="0B448FCC" w14:textId="5F2E443A" w:rsidR="003F154C" w:rsidRPr="005739FD" w:rsidRDefault="003F154C" w:rsidP="005739FD">
      <w:pPr>
        <w:pStyle w:val="MainBody"/>
      </w:pPr>
      <w:r>
        <w:t>(a) no less than whichever is the lesser of-</w:t>
      </w:r>
    </w:p>
    <w:p w14:paraId="0CA06E41" w14:textId="0CFC5E9C" w:rsidR="003F154C" w:rsidRDefault="003F154C" w:rsidP="005739FD">
      <w:pPr>
        <w:pStyle w:val="MainBody"/>
        <w:jc w:val="center"/>
      </w:pPr>
      <w:r>
        <w:t>N-A</w:t>
      </w:r>
    </w:p>
    <w:p w14:paraId="364616B7" w14:textId="48C62B9C" w:rsidR="003F154C" w:rsidRDefault="003F154C" w:rsidP="00A217E8">
      <w:pPr>
        <w:pStyle w:val="MainBody"/>
      </w:pPr>
      <w:r>
        <w:t>and 95% of the United Kingdom electoral quota, and</w:t>
      </w:r>
    </w:p>
    <w:p w14:paraId="3733342C" w14:textId="7583EE90" w:rsidR="003F154C" w:rsidRPr="005739FD" w:rsidRDefault="003F154C" w:rsidP="005739FD">
      <w:pPr>
        <w:pStyle w:val="MainBody"/>
      </w:pPr>
      <w:r>
        <w:t>(b) no more than whichever is the greater of-</w:t>
      </w:r>
    </w:p>
    <w:p w14:paraId="45666824" w14:textId="616403EB" w:rsidR="003F154C" w:rsidRPr="005739FD" w:rsidRDefault="003F154C" w:rsidP="002367E4">
      <w:pPr>
        <w:pStyle w:val="MainBody"/>
        <w:jc w:val="center"/>
      </w:pPr>
      <w:r>
        <w:t>N+A</w:t>
      </w:r>
    </w:p>
    <w:p w14:paraId="04B614C8" w14:textId="77777777" w:rsidR="003F154C" w:rsidRDefault="003F154C" w:rsidP="00A217E8">
      <w:pPr>
        <w:pStyle w:val="MainBody"/>
      </w:pPr>
      <w:r>
        <w:t xml:space="preserve">and 105% of the United Kingdom electoral quota, </w:t>
      </w:r>
    </w:p>
    <w:p w14:paraId="5847FF1E" w14:textId="77777777" w:rsidR="003F154C" w:rsidRDefault="003F154C" w:rsidP="00A217E8">
      <w:pPr>
        <w:pStyle w:val="MainBody"/>
      </w:pPr>
      <w:r>
        <w:t>where-</w:t>
      </w:r>
    </w:p>
    <w:p w14:paraId="5D130028" w14:textId="77777777" w:rsidR="003F154C" w:rsidRDefault="003F154C" w:rsidP="00A217E8">
      <w:pPr>
        <w:pStyle w:val="MainBody"/>
      </w:pPr>
      <w:r>
        <w:t xml:space="preserve">N is the electorate of Northern Ireland divided by the number of seats in Northern Ireland (determined under rule 8), and </w:t>
      </w:r>
    </w:p>
    <w:p w14:paraId="3CF9EBB4" w14:textId="77777777" w:rsidR="003F154C" w:rsidRDefault="003F154C" w:rsidP="00A217E8">
      <w:pPr>
        <w:pStyle w:val="MainBody"/>
      </w:pPr>
      <w:r>
        <w:t>A is 5% of the United Kingdom electoral quota.</w:t>
      </w:r>
    </w:p>
    <w:p w14:paraId="3F58C5E2" w14:textId="77777777" w:rsidR="00161B5F" w:rsidRDefault="00161B5F" w:rsidP="00A250A4">
      <w:pPr>
        <w:pStyle w:val="MainBodyItalic"/>
        <w:numPr>
          <w:ilvl w:val="0"/>
          <w:numId w:val="0"/>
        </w:numPr>
      </w:pPr>
    </w:p>
    <w:p w14:paraId="17954A42" w14:textId="77777777" w:rsidR="003F154C" w:rsidRPr="00A250A4" w:rsidRDefault="003F154C" w:rsidP="00A250A4">
      <w:pPr>
        <w:pStyle w:val="LegHeading1"/>
      </w:pPr>
      <w:r w:rsidRPr="00A250A4">
        <w:t>The allocation method</w:t>
      </w:r>
    </w:p>
    <w:p w14:paraId="723076D0" w14:textId="4B7AEFF4" w:rsidR="003F154C" w:rsidRPr="00A250A4" w:rsidRDefault="003F154C" w:rsidP="00A250A4">
      <w:pPr>
        <w:pStyle w:val="MainBodyItalic"/>
      </w:pPr>
      <w:r w:rsidRPr="00A250A4">
        <w:t>(1) The allocation method referred to in rule 3(2) is as follows.</w:t>
      </w:r>
    </w:p>
    <w:p w14:paraId="00808470" w14:textId="4ACDD7BE" w:rsidR="003F154C" w:rsidRDefault="003F154C" w:rsidP="00BF7E2F">
      <w:pPr>
        <w:pStyle w:val="MainBody"/>
      </w:pPr>
      <w:r>
        <w:t>(2) The first constituency shall be allocated to the part of the United Kingdom with the greatest electorate.</w:t>
      </w:r>
    </w:p>
    <w:p w14:paraId="18B4DF9D" w14:textId="55DA7521" w:rsidR="003F154C" w:rsidRPr="006327A9" w:rsidRDefault="003F154C" w:rsidP="006327A9">
      <w:pPr>
        <w:pStyle w:val="MainBody"/>
      </w:pPr>
      <w:r>
        <w:t>(3) The second and subsequent constituencies shall be allocated in the same way, except that the electorate of a part of the United Kingdom to which one or more constituencies have already been allocated is to be divided by-</w:t>
      </w:r>
    </w:p>
    <w:p w14:paraId="28D34D85" w14:textId="38CC5C6A" w:rsidR="003F154C" w:rsidRDefault="003F154C" w:rsidP="006327A9">
      <w:pPr>
        <w:pStyle w:val="MainBody"/>
        <w:jc w:val="center"/>
      </w:pPr>
      <w:r>
        <w:t>2C + 1</w:t>
      </w:r>
    </w:p>
    <w:p w14:paraId="52F07E46" w14:textId="130217CA" w:rsidR="003F154C" w:rsidRDefault="003F154C" w:rsidP="00BF7E2F">
      <w:pPr>
        <w:pStyle w:val="MainBody"/>
      </w:pPr>
      <w:r>
        <w:t>where C is the number of constituencies already allocated to that part.</w:t>
      </w:r>
    </w:p>
    <w:p w14:paraId="184BE69E" w14:textId="6B7FDE61" w:rsidR="003F154C" w:rsidRPr="00296224" w:rsidRDefault="003F154C" w:rsidP="00296224">
      <w:pPr>
        <w:pStyle w:val="MainBody"/>
      </w:pPr>
      <w:r>
        <w:t>(4) Where the figure given by sub-paragraph (3) above is the same for two or more pa</w:t>
      </w:r>
      <w:r w:rsidR="00296224">
        <w:t>rts of the United K</w:t>
      </w:r>
      <w:r>
        <w:t>ingdom, the part to which a constituency is to be allocated shall be the one with the smaller or smallest actual electorate.</w:t>
      </w:r>
    </w:p>
    <w:p w14:paraId="32DB0BA6" w14:textId="77777777" w:rsidR="003F154C" w:rsidRPr="00DD1BFA" w:rsidRDefault="003F154C" w:rsidP="00BF7E2F">
      <w:pPr>
        <w:pStyle w:val="MainBody"/>
      </w:pPr>
      <w:r w:rsidRPr="00DD1BFA">
        <w:t xml:space="preserve">(5) This rule does not apply to the constituencies mentioned in rule 6, and accordingly – </w:t>
      </w:r>
    </w:p>
    <w:p w14:paraId="185AA763" w14:textId="77777777" w:rsidR="003F154C" w:rsidRPr="00DD1BFA" w:rsidRDefault="003F154C" w:rsidP="008B045D">
      <w:pPr>
        <w:pStyle w:val="MainBody"/>
        <w:spacing w:after="0" w:line="240" w:lineRule="auto"/>
      </w:pPr>
      <w:r w:rsidRPr="00DD1BFA">
        <w:t xml:space="preserve">(a) the electorate of England shall be treated for the purpose of this rule as reduced by the electorate of the constituencies mentioned in rule 6(1); </w:t>
      </w:r>
    </w:p>
    <w:p w14:paraId="68D450C3" w14:textId="77777777" w:rsidR="003F154C" w:rsidRPr="00DD1BFA" w:rsidRDefault="003F154C" w:rsidP="008B045D">
      <w:pPr>
        <w:pStyle w:val="MainBody"/>
        <w:spacing w:after="0" w:line="240" w:lineRule="auto"/>
      </w:pPr>
      <w:r w:rsidRPr="00DD1BFA">
        <w:lastRenderedPageBreak/>
        <w:t>(b) the electorate of Scotland shall be treated for the purposes of this rule as reduced by the electorate of the constituencies mentioned in rule 6(2)(a) and (b);</w:t>
      </w:r>
    </w:p>
    <w:p w14:paraId="342B33D7" w14:textId="77777777" w:rsidR="003F154C" w:rsidRPr="00DD1BFA" w:rsidRDefault="003F154C" w:rsidP="008B045D">
      <w:pPr>
        <w:pStyle w:val="MainBody"/>
        <w:spacing w:after="0" w:line="240" w:lineRule="auto"/>
      </w:pPr>
      <w:r w:rsidRPr="00DD1BFA">
        <w:t>(c) the electorate of Wales shall be treated for the purposes of this rule as reduced by the electorate of the constituency mentioned in rule 6(2)(c).</w:t>
      </w:r>
    </w:p>
    <w:p w14:paraId="78708144" w14:textId="77777777" w:rsidR="003F154C" w:rsidRDefault="003F154C" w:rsidP="004470AA">
      <w:pPr>
        <w:ind w:hanging="2"/>
        <w:jc w:val="both"/>
        <w:rPr>
          <w:color w:val="FF0000"/>
        </w:rPr>
      </w:pPr>
    </w:p>
    <w:p w14:paraId="3ECA9795" w14:textId="521403DA" w:rsidR="003F154C" w:rsidRPr="00115104" w:rsidRDefault="003F154C" w:rsidP="00115104">
      <w:pPr>
        <w:pStyle w:val="LegHeading1"/>
      </w:pPr>
      <w:r>
        <w:t>Interpretation</w:t>
      </w:r>
    </w:p>
    <w:p w14:paraId="370D8573" w14:textId="582F9061" w:rsidR="003F154C" w:rsidRPr="00115104" w:rsidRDefault="003F154C" w:rsidP="00115104">
      <w:pPr>
        <w:pStyle w:val="MainBodyItalic"/>
      </w:pPr>
      <w:r w:rsidRPr="00A159E6">
        <w:t>(1) This rule has effect for the purposes of this Schedule.</w:t>
      </w:r>
    </w:p>
    <w:p w14:paraId="0D18E344" w14:textId="426EF080" w:rsidR="003F154C" w:rsidRPr="00DD1BFA" w:rsidRDefault="003F154C" w:rsidP="00DD1BFA">
      <w:pPr>
        <w:pStyle w:val="MainBody"/>
      </w:pPr>
      <w:r w:rsidRPr="00DD1BFA">
        <w:t xml:space="preserve">(2) Subject to sub-paragraph (2A), the “electorate” of the United Kingdom, or of a part of the United Kingdom or a constituency, </w:t>
      </w:r>
      <w:r>
        <w:t>is the total number of persons whose names appear on the relevant version of a register of parliamentary electors in respect of addresses in the United Kingdom, or in that part or that constituency.</w:t>
      </w:r>
      <w:r w:rsidR="00C84ED0">
        <w:t xml:space="preserve"> </w:t>
      </w:r>
      <w:r>
        <w:t xml:space="preserve">For this purpose the relevant version of a register is the version that is required by virtue of subsection (1) of section 13 of the Representation of the People Act 1983 to be published no later than the review date, or would be so required but for – </w:t>
      </w:r>
    </w:p>
    <w:p w14:paraId="0ED34D05" w14:textId="77777777" w:rsidR="003F154C" w:rsidRPr="00DD1BFA" w:rsidRDefault="003F154C" w:rsidP="00DD1BFA">
      <w:pPr>
        <w:pStyle w:val="MainBody"/>
      </w:pPr>
      <w:r w:rsidRPr="00DD1BFA">
        <w:t>(a) any power under that section to prescribe a later date, or</w:t>
      </w:r>
    </w:p>
    <w:p w14:paraId="076DECA9" w14:textId="24D543AB" w:rsidR="003F154C" w:rsidRPr="00AF67B1" w:rsidRDefault="003F154C" w:rsidP="00AF67B1">
      <w:pPr>
        <w:pStyle w:val="MainBody"/>
      </w:pPr>
      <w:r w:rsidRPr="00DD1BFA">
        <w:t>(b) subsection (1A) of that section.</w:t>
      </w:r>
    </w:p>
    <w:p w14:paraId="2C924084" w14:textId="2491C679" w:rsidR="003F154C" w:rsidRDefault="003F154C" w:rsidP="00DD1BFA">
      <w:pPr>
        <w:pStyle w:val="MainBody"/>
      </w:pPr>
      <w:r>
        <w:t>(2A) In relation to a report under section 3(1) that a Boundary Commission is required (by sections 3(2)) to submit before 1 July 2023, the “electorate” of the United Kingdom, or of a part of the United Kingdom or a constituency, is the total number of persons whose names appear on a register of parliamentary electors (maintained under section 9 of the Representation of the People Act 1983) in respect of addresses in the United Kingdom, or in that part of that constituency, as that register has effect on 2 March 2020.</w:t>
      </w:r>
    </w:p>
    <w:p w14:paraId="0120728D" w14:textId="0777D126" w:rsidR="003F154C" w:rsidRDefault="003F154C" w:rsidP="00DD1BFA">
      <w:pPr>
        <w:pStyle w:val="MainBody"/>
      </w:pPr>
      <w:r>
        <w:t>(3) “Local government boundaries” are-</w:t>
      </w:r>
    </w:p>
    <w:p w14:paraId="5E4E5B8F" w14:textId="77E59B33" w:rsidR="003F154C" w:rsidRDefault="003F154C" w:rsidP="00AF67B1">
      <w:pPr>
        <w:pStyle w:val="MainBody"/>
        <w:spacing w:after="0" w:line="240" w:lineRule="auto"/>
      </w:pPr>
      <w:r>
        <w:t>(a) in England, the boundaries of counties and their electoral divisions, districts and their wards, London boroughs and their wards and the City of London,</w:t>
      </w:r>
    </w:p>
    <w:p w14:paraId="5B1BE42B" w14:textId="144A0D1C" w:rsidR="003F154C" w:rsidRDefault="003F154C" w:rsidP="00AF67B1">
      <w:pPr>
        <w:pStyle w:val="MainBody"/>
        <w:spacing w:after="0" w:line="240" w:lineRule="auto"/>
      </w:pPr>
      <w:r>
        <w:t>(b) in Wales, the boundaries of counties, county boroughs, electoral divisions, communities and community wards,</w:t>
      </w:r>
    </w:p>
    <w:p w14:paraId="0CB02A32" w14:textId="7BC01DF4" w:rsidR="003F154C" w:rsidRDefault="003F154C" w:rsidP="00AF67B1">
      <w:pPr>
        <w:pStyle w:val="MainBody"/>
        <w:spacing w:after="0" w:line="240" w:lineRule="auto"/>
      </w:pPr>
      <w:r>
        <w:t>(c) in Scotland, the boundaries of local government areas and the electoral wards into which they are divided under section 1 of the Local Governance (Scotland) Act 2004, and</w:t>
      </w:r>
    </w:p>
    <w:p w14:paraId="5D4F7117" w14:textId="77777777" w:rsidR="003F154C" w:rsidRDefault="003F154C" w:rsidP="00AF67B1">
      <w:pPr>
        <w:pStyle w:val="MainBody"/>
        <w:spacing w:after="0" w:line="240" w:lineRule="auto"/>
      </w:pPr>
      <w:r>
        <w:t>(d) in Northern Ireland, the boundaries of wards.</w:t>
      </w:r>
    </w:p>
    <w:p w14:paraId="4BB270A6" w14:textId="77777777" w:rsidR="003F154C" w:rsidRDefault="003F154C" w:rsidP="004470AA">
      <w:pPr>
        <w:ind w:hanging="2"/>
        <w:jc w:val="both"/>
        <w:rPr>
          <w:color w:val="FF0000"/>
        </w:rPr>
      </w:pPr>
    </w:p>
    <w:p w14:paraId="4B1BF6E9" w14:textId="2F718531" w:rsidR="003F154C" w:rsidRPr="00553886" w:rsidRDefault="003F154C" w:rsidP="00553886">
      <w:pPr>
        <w:pStyle w:val="MainBody"/>
      </w:pPr>
      <w:r>
        <w:t>(3A) A local government boundary is “prospective” on a particular date if, on that date-</w:t>
      </w:r>
    </w:p>
    <w:p w14:paraId="0ADC190C" w14:textId="015D795A" w:rsidR="003F154C" w:rsidRPr="005949DA" w:rsidRDefault="005949DA" w:rsidP="00553886">
      <w:pPr>
        <w:pStyle w:val="MainBody"/>
        <w:spacing w:after="0" w:line="240" w:lineRule="auto"/>
      </w:pPr>
      <w:r>
        <w:t xml:space="preserve">(a) </w:t>
      </w:r>
      <w:r w:rsidR="003F154C" w:rsidRPr="005949DA">
        <w:t>it is specified in a provision of primary or secondary legislation, but</w:t>
      </w:r>
    </w:p>
    <w:p w14:paraId="38B99104" w14:textId="06E83335" w:rsidR="003F154C" w:rsidRDefault="005949DA" w:rsidP="00553886">
      <w:pPr>
        <w:pStyle w:val="MainBody"/>
        <w:spacing w:after="0" w:line="240" w:lineRule="auto"/>
      </w:pPr>
      <w:r>
        <w:t xml:space="preserve">(b) </w:t>
      </w:r>
      <w:r w:rsidR="003F154C">
        <w:t>that provision is not yet in force for all purposes.</w:t>
      </w:r>
    </w:p>
    <w:p w14:paraId="41FD0E03" w14:textId="77777777" w:rsidR="003F154C" w:rsidRDefault="003F154C" w:rsidP="004470AA">
      <w:pPr>
        <w:ind w:hanging="2"/>
        <w:jc w:val="both"/>
        <w:rPr>
          <w:color w:val="FF0000"/>
        </w:rPr>
      </w:pPr>
    </w:p>
    <w:p w14:paraId="7A42596F" w14:textId="3A86683F" w:rsidR="003F154C" w:rsidRDefault="003F154C" w:rsidP="005949DA">
      <w:pPr>
        <w:pStyle w:val="MainBody"/>
      </w:pPr>
      <w:r>
        <w:t xml:space="preserve">(3B) For that purpose- </w:t>
      </w:r>
    </w:p>
    <w:p w14:paraId="5E6E0397" w14:textId="61A08526" w:rsidR="003F154C" w:rsidRDefault="005949DA" w:rsidP="0092739D">
      <w:pPr>
        <w:pStyle w:val="MainBody"/>
        <w:spacing w:after="0" w:line="240" w:lineRule="auto"/>
      </w:pPr>
      <w:r>
        <w:t xml:space="preserve">(a) </w:t>
      </w:r>
      <w:r w:rsidR="003F154C">
        <w:t>“primary legislation” means-</w:t>
      </w:r>
    </w:p>
    <w:p w14:paraId="3D8C92E5" w14:textId="41BAC39F" w:rsidR="003F154C" w:rsidRDefault="007B443E" w:rsidP="00A11BF4">
      <w:pPr>
        <w:pStyle w:val="MainBody"/>
        <w:spacing w:after="0" w:line="240" w:lineRule="auto"/>
        <w:ind w:firstLine="720"/>
      </w:pPr>
      <w:r>
        <w:t xml:space="preserve">   </w:t>
      </w:r>
      <w:r w:rsidR="003F154C">
        <w:t xml:space="preserve"> (i) an Act of Parliament;</w:t>
      </w:r>
    </w:p>
    <w:p w14:paraId="5B709289" w14:textId="430329AD" w:rsidR="007B443E" w:rsidRDefault="007B443E" w:rsidP="00A11BF4">
      <w:pPr>
        <w:pStyle w:val="MainBody"/>
        <w:spacing w:after="0" w:line="240" w:lineRule="auto"/>
        <w:ind w:firstLine="720"/>
      </w:pPr>
      <w:r>
        <w:lastRenderedPageBreak/>
        <w:t xml:space="preserve">   </w:t>
      </w:r>
      <w:r w:rsidR="003F154C">
        <w:t xml:space="preserve"> (ii) an Act of the Scottish Parliament;</w:t>
      </w:r>
    </w:p>
    <w:p w14:paraId="4CF492F2" w14:textId="4104E3C4" w:rsidR="007B443E" w:rsidRDefault="007B443E" w:rsidP="00A11BF4">
      <w:pPr>
        <w:pStyle w:val="MainBody"/>
        <w:spacing w:after="0" w:line="240" w:lineRule="auto"/>
        <w:ind w:left="720"/>
      </w:pPr>
      <w:r>
        <w:t xml:space="preserve">   </w:t>
      </w:r>
      <w:r w:rsidR="003F154C">
        <w:t xml:space="preserve"> (iii) an Act of Senedd Cymru; or</w:t>
      </w:r>
    </w:p>
    <w:p w14:paraId="7E3A2751" w14:textId="333C24F7" w:rsidR="003F154C" w:rsidRDefault="007B443E" w:rsidP="00A11BF4">
      <w:pPr>
        <w:pStyle w:val="MainBody"/>
        <w:spacing w:after="0" w:line="240" w:lineRule="auto"/>
        <w:ind w:left="720"/>
      </w:pPr>
      <w:r>
        <w:t xml:space="preserve">  </w:t>
      </w:r>
      <w:r w:rsidR="005949DA">
        <w:t xml:space="preserve">  (iv) North</w:t>
      </w:r>
      <w:r w:rsidR="003F154C">
        <w:t>ern Ireland legislation, and</w:t>
      </w:r>
    </w:p>
    <w:p w14:paraId="52DDD44D" w14:textId="071D5FA3" w:rsidR="003F154C" w:rsidRPr="00F852D9" w:rsidRDefault="005949DA" w:rsidP="00F852D9">
      <w:pPr>
        <w:pStyle w:val="MainBody"/>
      </w:pPr>
      <w:r>
        <w:t xml:space="preserve">(b) </w:t>
      </w:r>
      <w:r w:rsidR="003F154C" w:rsidRPr="005949DA">
        <w:t>“secondary legislation” means an instrument made under primary legislation.</w:t>
      </w:r>
    </w:p>
    <w:p w14:paraId="11D9DA37" w14:textId="0CEA9861" w:rsidR="003F154C" w:rsidRDefault="003F154C" w:rsidP="008B5839">
      <w:pPr>
        <w:pStyle w:val="MainBody"/>
      </w:pPr>
      <w:r>
        <w:t>(4) “Ordinary council-election day” is-</w:t>
      </w:r>
    </w:p>
    <w:p w14:paraId="0D08367B" w14:textId="1EE48281" w:rsidR="003F154C" w:rsidRDefault="003F154C" w:rsidP="00F852D9">
      <w:pPr>
        <w:pStyle w:val="MainBody"/>
        <w:spacing w:after="0" w:line="240" w:lineRule="auto"/>
      </w:pPr>
      <w:r>
        <w:t xml:space="preserve">(a) in relation to England and Wales, the ordinary day of election of councillors for local government areas; </w:t>
      </w:r>
    </w:p>
    <w:p w14:paraId="2C035C72" w14:textId="3F6F4A5B" w:rsidR="003F154C" w:rsidRPr="00F852D9" w:rsidRDefault="003F154C" w:rsidP="00F852D9">
      <w:pPr>
        <w:pStyle w:val="MainBody"/>
        <w:spacing w:after="0" w:line="240" w:lineRule="auto"/>
      </w:pPr>
      <w:r>
        <w:t xml:space="preserve">(b) in relation to Scotland, the day on which the poll is held at ordinary elections of councillors for local government areas; </w:t>
      </w:r>
    </w:p>
    <w:p w14:paraId="17FE3FFB" w14:textId="77777777" w:rsidR="003F154C" w:rsidRDefault="003F154C" w:rsidP="00F852D9">
      <w:pPr>
        <w:pStyle w:val="MainBody"/>
        <w:spacing w:after="0" w:line="240" w:lineRule="auto"/>
      </w:pPr>
      <w:r>
        <w:t>(c) in relation to Northern Ireland, the day of an election for any district council (other than an election to fill a casual vacancy).</w:t>
      </w:r>
    </w:p>
    <w:p w14:paraId="0FE94D5D" w14:textId="77777777" w:rsidR="003F154C" w:rsidRDefault="003F154C" w:rsidP="008B5839">
      <w:pPr>
        <w:pStyle w:val="MainBody"/>
      </w:pPr>
    </w:p>
    <w:p w14:paraId="1780C211" w14:textId="35F1E259" w:rsidR="003F154C" w:rsidRPr="0083791D" w:rsidRDefault="003F154C" w:rsidP="008B5839">
      <w:pPr>
        <w:pStyle w:val="MainBody"/>
      </w:pPr>
      <w:r>
        <w:t>(5) The “review date”, in relation to a report under section 3(1) of this Act that a Boundary Commission is required (by section 3(2)) to submit before a particular date, is</w:t>
      </w:r>
    </w:p>
    <w:p w14:paraId="41A1BB73" w14:textId="4A04A877" w:rsidR="003F154C" w:rsidRPr="0083791D" w:rsidRDefault="008B5839" w:rsidP="002925B4">
      <w:pPr>
        <w:pStyle w:val="MainBody"/>
        <w:spacing w:after="0" w:line="240" w:lineRule="auto"/>
      </w:pPr>
      <w:r w:rsidRPr="0083791D">
        <w:t xml:space="preserve">(a) </w:t>
      </w:r>
      <w:r w:rsidR="003F154C" w:rsidRPr="0083791D">
        <w:t>1 December 2020 in the case of a report required to be submitted before 1 July 2023, and</w:t>
      </w:r>
    </w:p>
    <w:p w14:paraId="1F2CD8CE" w14:textId="1CFEBF29" w:rsidR="003F154C" w:rsidRDefault="008B5839" w:rsidP="002925B4">
      <w:pPr>
        <w:pStyle w:val="MainBody"/>
        <w:spacing w:after="0" w:line="240" w:lineRule="auto"/>
      </w:pPr>
      <w:r w:rsidRPr="0083791D">
        <w:t xml:space="preserve">(b) </w:t>
      </w:r>
      <w:r w:rsidR="003F154C" w:rsidRPr="0083791D">
        <w:t>in the case of a report required to be submitted before any other particular date, the date which is two years and 10 months before that date.(For example, 1 December 2028 in the case of a report required to be submitted before 1 October 2031).</w:t>
      </w:r>
    </w:p>
    <w:p w14:paraId="5712C8AB" w14:textId="77777777" w:rsidR="00A64B81" w:rsidRPr="0083791D" w:rsidRDefault="00A64B81" w:rsidP="002925B4">
      <w:pPr>
        <w:pStyle w:val="MainBody"/>
        <w:spacing w:after="0" w:line="240" w:lineRule="auto"/>
      </w:pPr>
    </w:p>
    <w:p w14:paraId="168621C4" w14:textId="77777777" w:rsidR="003F154C" w:rsidRPr="0083791D" w:rsidRDefault="003F154C" w:rsidP="002925B4">
      <w:pPr>
        <w:pStyle w:val="MainBody"/>
        <w:spacing w:after="0" w:line="240" w:lineRule="auto"/>
      </w:pPr>
      <w:r w:rsidRPr="0083791D">
        <w:t>(6) “The United Kingdom electoral quota” has the meaning given by rule 2(3).</w:t>
      </w:r>
    </w:p>
    <w:p w14:paraId="32CA2842" w14:textId="77777777" w:rsidR="003F154C" w:rsidRPr="0083791D" w:rsidRDefault="003F154C" w:rsidP="004470AA">
      <w:pPr>
        <w:ind w:hanging="2"/>
        <w:jc w:val="both"/>
      </w:pPr>
    </w:p>
    <w:p w14:paraId="017AEB88" w14:textId="544A513F" w:rsidR="00E96508" w:rsidRDefault="003F154C" w:rsidP="0024550F">
      <w:pPr>
        <w:pStyle w:val="MainBody"/>
      </w:pPr>
      <w:r w:rsidRPr="0083791D">
        <w:t>(7) A reference in rule 6(2)(a) or (b) to an area is to the area as it existed on the coming into force of Part 2 the Parliamentary Voting System and Constituencies Act 2011, and the reference in rule 6(2)(c) to the area of the Isle of Anglesey County Council is to the area as it existed on the coming into force of the Schedule to the Parliamentary Constituencies Act 2020.</w:t>
      </w:r>
    </w:p>
    <w:p w14:paraId="421BD27A" w14:textId="77777777" w:rsidR="00E96508" w:rsidRDefault="00E96508">
      <w:r>
        <w:br w:type="page"/>
      </w:r>
    </w:p>
    <w:p w14:paraId="07FAFAA0" w14:textId="77777777" w:rsidR="00E96508" w:rsidRDefault="00E96508" w:rsidP="0024550F">
      <w:pPr>
        <w:pStyle w:val="MainBody"/>
        <w:sectPr w:rsidR="00E96508">
          <w:footerReference w:type="default" r:id="rId17"/>
          <w:pgSz w:w="11906" w:h="16838"/>
          <w:pgMar w:top="1440" w:right="1440" w:bottom="1440" w:left="1440" w:header="708" w:footer="708" w:gutter="0"/>
          <w:cols w:space="708"/>
          <w:docGrid w:linePitch="360"/>
        </w:sectPr>
      </w:pPr>
    </w:p>
    <w:p w14:paraId="48962F93" w14:textId="49D8580E" w:rsidR="00BE7874" w:rsidRPr="00BE7874" w:rsidRDefault="00ED4A04" w:rsidP="00BE7874">
      <w:pPr>
        <w:pStyle w:val="Heading1"/>
      </w:pPr>
      <w:bookmarkStart w:id="29" w:name="_Toc72949444"/>
      <w:r>
        <w:rPr>
          <w:noProof/>
          <w:sz w:val="96"/>
        </w:rPr>
        <w:lastRenderedPageBreak/>
        <w:drawing>
          <wp:anchor distT="0" distB="0" distL="114300" distR="114300" simplePos="0" relativeHeight="251671552" behindDoc="0" locked="0" layoutInCell="1" allowOverlap="1" wp14:anchorId="69C57F19" wp14:editId="0C501789">
            <wp:simplePos x="0" y="0"/>
            <wp:positionH relativeFrom="page">
              <wp:posOffset>135467</wp:posOffset>
            </wp:positionH>
            <wp:positionV relativeFrom="paragraph">
              <wp:posOffset>355600</wp:posOffset>
            </wp:positionV>
            <wp:extent cx="10320866" cy="5358598"/>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uide Timeline FINAL.png"/>
                    <pic:cNvPicPr/>
                  </pic:nvPicPr>
                  <pic:blipFill>
                    <a:blip r:embed="rId18">
                      <a:extLst>
                        <a:ext uri="{28A0092B-C50C-407E-A947-70E740481C1C}">
                          <a14:useLocalDpi xmlns:a14="http://schemas.microsoft.com/office/drawing/2010/main" val="0"/>
                        </a:ext>
                      </a:extLst>
                    </a:blip>
                    <a:stretch>
                      <a:fillRect/>
                    </a:stretch>
                  </pic:blipFill>
                  <pic:spPr>
                    <a:xfrm>
                      <a:off x="0" y="0"/>
                      <a:ext cx="10327941" cy="5362271"/>
                    </a:xfrm>
                    <a:prstGeom prst="rect">
                      <a:avLst/>
                    </a:prstGeom>
                  </pic:spPr>
                </pic:pic>
              </a:graphicData>
            </a:graphic>
            <wp14:sizeRelH relativeFrom="margin">
              <wp14:pctWidth>0</wp14:pctWidth>
            </wp14:sizeRelH>
            <wp14:sizeRelV relativeFrom="margin">
              <wp14:pctHeight>0</wp14:pctHeight>
            </wp14:sizeRelV>
          </wp:anchor>
        </w:drawing>
      </w:r>
      <w:r w:rsidR="00BE7874">
        <w:t xml:space="preserve">Appendix C: </w:t>
      </w:r>
      <w:r w:rsidR="00121AEB">
        <w:t>Summary of Review Process</w:t>
      </w:r>
      <w:bookmarkEnd w:id="29"/>
    </w:p>
    <w:p w14:paraId="44ABFF55" w14:textId="058491C1" w:rsidR="00BE7874" w:rsidRDefault="00BE7874" w:rsidP="00E96508">
      <w:pPr>
        <w:pStyle w:val="MainBody"/>
        <w:jc w:val="center"/>
        <w:rPr>
          <w:sz w:val="96"/>
        </w:rPr>
      </w:pPr>
    </w:p>
    <w:p w14:paraId="156F2D0F" w14:textId="77777777" w:rsidR="00BE7874" w:rsidRDefault="00BE7874" w:rsidP="00E96508">
      <w:pPr>
        <w:pStyle w:val="MainBody"/>
        <w:jc w:val="center"/>
        <w:rPr>
          <w:sz w:val="96"/>
        </w:rPr>
      </w:pPr>
    </w:p>
    <w:p w14:paraId="04A8A18D" w14:textId="5AC99FCD" w:rsidR="00EA2510" w:rsidRPr="00E96508" w:rsidRDefault="00EA2510" w:rsidP="00E96508">
      <w:pPr>
        <w:pStyle w:val="MainBody"/>
        <w:jc w:val="center"/>
        <w:rPr>
          <w:sz w:val="96"/>
        </w:rPr>
      </w:pPr>
    </w:p>
    <w:sectPr w:rsidR="00EA2510" w:rsidRPr="00E96508" w:rsidSect="00E96508">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627B5A4" w14:textId="77777777" w:rsidR="001E4C97" w:rsidRDefault="001E4C97" w:rsidP="000A5C3E">
      <w:pPr>
        <w:spacing w:after="0" w:line="240" w:lineRule="auto"/>
      </w:pPr>
      <w:r>
        <w:separator/>
      </w:r>
    </w:p>
  </w:endnote>
  <w:endnote w:type="continuationSeparator" w:id="0">
    <w:p w14:paraId="064FD4F2" w14:textId="77777777" w:rsidR="001E4C97" w:rsidRDefault="001E4C97" w:rsidP="000A5C3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00405869"/>
      <w:docPartObj>
        <w:docPartGallery w:val="Page Numbers (Bottom of Page)"/>
        <w:docPartUnique/>
      </w:docPartObj>
    </w:sdtPr>
    <w:sdtEndPr>
      <w:rPr>
        <w:noProof/>
      </w:rPr>
    </w:sdtEndPr>
    <w:sdtContent>
      <w:p w14:paraId="351A5628" w14:textId="06E4D214" w:rsidR="00042573" w:rsidRDefault="00042573">
        <w:pPr>
          <w:pStyle w:val="Footer"/>
          <w:jc w:val="center"/>
        </w:pPr>
        <w:r>
          <w:fldChar w:fldCharType="begin"/>
        </w:r>
        <w:r>
          <w:instrText xml:space="preserve"> PAGE   \* MERGEFORMAT </w:instrText>
        </w:r>
        <w:r>
          <w:fldChar w:fldCharType="separate"/>
        </w:r>
        <w:r w:rsidR="00221B1B">
          <w:rPr>
            <w:noProof/>
          </w:rPr>
          <w:t>8</w:t>
        </w:r>
        <w:r>
          <w:rPr>
            <w:noProof/>
          </w:rPr>
          <w:fldChar w:fldCharType="end"/>
        </w:r>
      </w:p>
    </w:sdtContent>
  </w:sdt>
  <w:p w14:paraId="244D8CEA" w14:textId="77777777" w:rsidR="00042573" w:rsidRDefault="0004257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7F1003E" w14:textId="77777777" w:rsidR="001E4C97" w:rsidRDefault="001E4C97" w:rsidP="000A5C3E">
      <w:pPr>
        <w:spacing w:after="0" w:line="240" w:lineRule="auto"/>
      </w:pPr>
      <w:r>
        <w:separator/>
      </w:r>
    </w:p>
  </w:footnote>
  <w:footnote w:type="continuationSeparator" w:id="0">
    <w:p w14:paraId="57D8D186" w14:textId="77777777" w:rsidR="001E4C97" w:rsidRDefault="001E4C97" w:rsidP="000A5C3E">
      <w:pPr>
        <w:spacing w:after="0" w:line="240" w:lineRule="auto"/>
      </w:pPr>
      <w:r>
        <w:continuationSeparator/>
      </w:r>
    </w:p>
  </w:footnote>
  <w:footnote w:id="1">
    <w:p w14:paraId="4457595A" w14:textId="2E0FEC97" w:rsidR="00042573" w:rsidRPr="001927E7" w:rsidRDefault="00042573">
      <w:pPr>
        <w:pStyle w:val="FootnoteText"/>
        <w:rPr>
          <w:lang w:val="en-US"/>
        </w:rPr>
      </w:pPr>
      <w:r>
        <w:rPr>
          <w:rStyle w:val="FootnoteReference"/>
        </w:rPr>
        <w:footnoteRef/>
      </w:r>
      <w:r>
        <w:t xml:space="preserve"> The electoral </w:t>
      </w:r>
      <w:r w:rsidR="00221002">
        <w:t>quota to 1 decimal place is 73,</w:t>
      </w:r>
      <w:r>
        <w:t xml:space="preserve">392.7. </w:t>
      </w:r>
      <w:r>
        <w:rPr>
          <w:lang w:val="en-US"/>
        </w:rPr>
        <w:t>The BCNI press release issued on 5 January 2021 incorrectly stated the electoral quot</w:t>
      </w:r>
      <w:r w:rsidR="00922D77">
        <w:rPr>
          <w:lang w:val="en-US"/>
        </w:rPr>
        <w:t>a as 73,392. The correct</w:t>
      </w:r>
      <w:r>
        <w:rPr>
          <w:lang w:val="en-US"/>
        </w:rPr>
        <w:t xml:space="preserve"> </w:t>
      </w:r>
      <w:r w:rsidR="00221002">
        <w:rPr>
          <w:lang w:val="en-US"/>
        </w:rPr>
        <w:t>figure</w:t>
      </w:r>
      <w:r w:rsidR="00922D77">
        <w:rPr>
          <w:lang w:val="en-US"/>
        </w:rPr>
        <w:t xml:space="preserve"> to the nearest whole number</w:t>
      </w:r>
      <w:r w:rsidR="00221002">
        <w:rPr>
          <w:lang w:val="en-US"/>
        </w:rPr>
        <w:t xml:space="preserve"> is 73,</w:t>
      </w:r>
      <w:r>
        <w:rPr>
          <w:lang w:val="en-US"/>
        </w:rPr>
        <w:t>393.</w:t>
      </w:r>
    </w:p>
  </w:footnote>
  <w:footnote w:id="2">
    <w:p w14:paraId="0C406652" w14:textId="032E2452" w:rsidR="00042573" w:rsidRDefault="00042573">
      <w:pPr>
        <w:pStyle w:val="FootnoteText"/>
      </w:pPr>
      <w:r>
        <w:rPr>
          <w:rStyle w:val="FootnoteReference"/>
        </w:rPr>
        <w:footnoteRef/>
      </w:r>
      <w:r>
        <w:t xml:space="preserve"> The BCNI press release issued on 5 January 2021 incorrectly stated the lower li</w:t>
      </w:r>
      <w:r w:rsidR="00F43E0E">
        <w:t>mit for the Rule 7 range as 68,313. The correct figure is 68,</w:t>
      </w:r>
      <w:r>
        <w:t>314.</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2C2C36"/>
    <w:multiLevelType w:val="hybridMultilevel"/>
    <w:tmpl w:val="8A20559C"/>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F76FA2"/>
    <w:multiLevelType w:val="hybridMultilevel"/>
    <w:tmpl w:val="39AE448E"/>
    <w:lvl w:ilvl="0" w:tplc="6178A764">
      <w:start w:val="1"/>
      <w:numFmt w:val="decimal"/>
      <w:lvlText w:val="%1."/>
      <w:lvlJc w:val="left"/>
      <w:pPr>
        <w:ind w:left="1100" w:hanging="360"/>
      </w:pPr>
      <w:rPr>
        <w:rFonts w:ascii="Arial" w:eastAsiaTheme="minorHAnsi" w:hAnsi="Arial" w:cs="Arial"/>
        <w:i w:val="0"/>
        <w:strike w:val="0"/>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2" w15:restartNumberingAfterBreak="0">
    <w:nsid w:val="0D68090C"/>
    <w:multiLevelType w:val="multilevel"/>
    <w:tmpl w:val="9B22F8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E66079B"/>
    <w:multiLevelType w:val="multilevel"/>
    <w:tmpl w:val="FB742744"/>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4" w15:restartNumberingAfterBreak="0">
    <w:nsid w:val="141B131E"/>
    <w:multiLevelType w:val="hybridMultilevel"/>
    <w:tmpl w:val="73D8B2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562175F"/>
    <w:multiLevelType w:val="hybridMultilevel"/>
    <w:tmpl w:val="18389FA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F8866C9"/>
    <w:multiLevelType w:val="multilevel"/>
    <w:tmpl w:val="F89C0A36"/>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7" w15:restartNumberingAfterBreak="0">
    <w:nsid w:val="26277244"/>
    <w:multiLevelType w:val="hybridMultilevel"/>
    <w:tmpl w:val="FBE4E7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DD33D79"/>
    <w:multiLevelType w:val="hybridMultilevel"/>
    <w:tmpl w:val="0ECAC4A4"/>
    <w:lvl w:ilvl="0" w:tplc="CC3E1410">
      <w:start w:val="1"/>
      <w:numFmt w:val="decimal"/>
      <w:lvlText w:val="(%1)"/>
      <w:lvlJc w:val="left"/>
      <w:pPr>
        <w:ind w:left="368" w:hanging="372"/>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9" w15:restartNumberingAfterBreak="0">
    <w:nsid w:val="2DF07CE5"/>
    <w:multiLevelType w:val="multilevel"/>
    <w:tmpl w:val="601CB00E"/>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0" w15:restartNumberingAfterBreak="0">
    <w:nsid w:val="2EB878FF"/>
    <w:multiLevelType w:val="hybridMultilevel"/>
    <w:tmpl w:val="3D009DC2"/>
    <w:lvl w:ilvl="0" w:tplc="0809000F">
      <w:start w:val="1"/>
      <w:numFmt w:val="decimal"/>
      <w:lvlText w:val="%1."/>
      <w:lvlJc w:val="left"/>
      <w:pPr>
        <w:ind w:left="368" w:hanging="372"/>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35694884"/>
    <w:multiLevelType w:val="hybridMultilevel"/>
    <w:tmpl w:val="E6AABB1E"/>
    <w:lvl w:ilvl="0" w:tplc="C2860B5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7102ABA"/>
    <w:multiLevelType w:val="hybridMultilevel"/>
    <w:tmpl w:val="923ED5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702D5E"/>
    <w:multiLevelType w:val="multilevel"/>
    <w:tmpl w:val="5B1EE3E2"/>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14" w15:restartNumberingAfterBreak="0">
    <w:nsid w:val="3B002BF3"/>
    <w:multiLevelType w:val="hybridMultilevel"/>
    <w:tmpl w:val="94BEE7D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0B51E9F"/>
    <w:multiLevelType w:val="hybridMultilevel"/>
    <w:tmpl w:val="F6B065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19403DE"/>
    <w:multiLevelType w:val="multilevel"/>
    <w:tmpl w:val="04B603E4"/>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17" w15:restartNumberingAfterBreak="0">
    <w:nsid w:val="48773F6C"/>
    <w:multiLevelType w:val="hybridMultilevel"/>
    <w:tmpl w:val="7034E144"/>
    <w:lvl w:ilvl="0" w:tplc="9C5E6974">
      <w:start w:val="1"/>
      <w:numFmt w:val="decimal"/>
      <w:pStyle w:val="ListParagraph"/>
      <w:lvlText w:val="%1."/>
      <w:lvlJc w:val="left"/>
      <w:pPr>
        <w:ind w:left="4755" w:hanging="360"/>
      </w:pPr>
      <w:rPr>
        <w:i w:val="0"/>
      </w:rPr>
    </w:lvl>
    <w:lvl w:ilvl="1" w:tplc="08090019" w:tentative="1">
      <w:start w:val="1"/>
      <w:numFmt w:val="lowerLetter"/>
      <w:lvlText w:val="%2."/>
      <w:lvlJc w:val="left"/>
      <w:pPr>
        <w:ind w:left="7885" w:hanging="360"/>
      </w:pPr>
    </w:lvl>
    <w:lvl w:ilvl="2" w:tplc="0809001B" w:tentative="1">
      <w:start w:val="1"/>
      <w:numFmt w:val="lowerRoman"/>
      <w:lvlText w:val="%3."/>
      <w:lvlJc w:val="right"/>
      <w:pPr>
        <w:ind w:left="8605" w:hanging="180"/>
      </w:pPr>
    </w:lvl>
    <w:lvl w:ilvl="3" w:tplc="0809000F" w:tentative="1">
      <w:start w:val="1"/>
      <w:numFmt w:val="decimal"/>
      <w:lvlText w:val="%4."/>
      <w:lvlJc w:val="left"/>
      <w:pPr>
        <w:ind w:left="9325" w:hanging="360"/>
      </w:pPr>
    </w:lvl>
    <w:lvl w:ilvl="4" w:tplc="08090019" w:tentative="1">
      <w:start w:val="1"/>
      <w:numFmt w:val="lowerLetter"/>
      <w:lvlText w:val="%5."/>
      <w:lvlJc w:val="left"/>
      <w:pPr>
        <w:ind w:left="10045" w:hanging="360"/>
      </w:pPr>
    </w:lvl>
    <w:lvl w:ilvl="5" w:tplc="0809001B" w:tentative="1">
      <w:start w:val="1"/>
      <w:numFmt w:val="lowerRoman"/>
      <w:lvlText w:val="%6."/>
      <w:lvlJc w:val="right"/>
      <w:pPr>
        <w:ind w:left="10765" w:hanging="180"/>
      </w:pPr>
    </w:lvl>
    <w:lvl w:ilvl="6" w:tplc="0809000F" w:tentative="1">
      <w:start w:val="1"/>
      <w:numFmt w:val="decimal"/>
      <w:lvlText w:val="%7."/>
      <w:lvlJc w:val="left"/>
      <w:pPr>
        <w:ind w:left="11485" w:hanging="360"/>
      </w:pPr>
    </w:lvl>
    <w:lvl w:ilvl="7" w:tplc="08090019" w:tentative="1">
      <w:start w:val="1"/>
      <w:numFmt w:val="lowerLetter"/>
      <w:lvlText w:val="%8."/>
      <w:lvlJc w:val="left"/>
      <w:pPr>
        <w:ind w:left="12205" w:hanging="360"/>
      </w:pPr>
    </w:lvl>
    <w:lvl w:ilvl="8" w:tplc="0809001B" w:tentative="1">
      <w:start w:val="1"/>
      <w:numFmt w:val="lowerRoman"/>
      <w:lvlText w:val="%9."/>
      <w:lvlJc w:val="right"/>
      <w:pPr>
        <w:ind w:left="12925" w:hanging="180"/>
      </w:pPr>
    </w:lvl>
  </w:abstractNum>
  <w:abstractNum w:abstractNumId="18" w15:restartNumberingAfterBreak="0">
    <w:nsid w:val="4E8F77C1"/>
    <w:multiLevelType w:val="hybridMultilevel"/>
    <w:tmpl w:val="952EA3B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9" w15:restartNumberingAfterBreak="0">
    <w:nsid w:val="510D3680"/>
    <w:multiLevelType w:val="multilevel"/>
    <w:tmpl w:val="F1141910"/>
    <w:lvl w:ilvl="0">
      <w:start w:val="1"/>
      <w:numFmt w:val="lowerLetter"/>
      <w:lvlText w:val="(%1)"/>
      <w:lvlJc w:val="left"/>
      <w:pPr>
        <w:ind w:left="720" w:hanging="360"/>
      </w:pPr>
      <w:rPr>
        <w:strike w:val="0"/>
        <w:dstrike w:val="0"/>
        <w:u w:val="none"/>
        <w:effect w:val="none"/>
      </w:rPr>
    </w:lvl>
    <w:lvl w:ilvl="1">
      <w:start w:val="1"/>
      <w:numFmt w:val="lowerRoman"/>
      <w:lvlText w:val="(%2)"/>
      <w:lvlJc w:val="right"/>
      <w:pPr>
        <w:ind w:left="1440" w:hanging="360"/>
      </w:pPr>
      <w:rPr>
        <w:strike w:val="0"/>
        <w:dstrike w:val="0"/>
        <w:u w:val="none"/>
        <w:effect w:val="none"/>
      </w:rPr>
    </w:lvl>
    <w:lvl w:ilvl="2">
      <w:start w:val="1"/>
      <w:numFmt w:val="decimal"/>
      <w:lvlText w:val="(%3)"/>
      <w:lvlJc w:val="left"/>
      <w:pPr>
        <w:ind w:left="2160" w:hanging="360"/>
      </w:pPr>
      <w:rPr>
        <w:strike w:val="0"/>
        <w:dstrike w:val="0"/>
        <w:u w:val="none"/>
        <w:effect w:val="none"/>
      </w:rPr>
    </w:lvl>
    <w:lvl w:ilvl="3">
      <w:start w:val="1"/>
      <w:numFmt w:val="lowerLetter"/>
      <w:lvlText w:val="%4)"/>
      <w:lvlJc w:val="left"/>
      <w:pPr>
        <w:ind w:left="2880" w:hanging="360"/>
      </w:pPr>
      <w:rPr>
        <w:strike w:val="0"/>
        <w:dstrike w:val="0"/>
        <w:u w:val="none"/>
        <w:effect w:val="none"/>
      </w:rPr>
    </w:lvl>
    <w:lvl w:ilvl="4">
      <w:start w:val="1"/>
      <w:numFmt w:val="lowerRoman"/>
      <w:lvlText w:val="%5)"/>
      <w:lvlJc w:val="right"/>
      <w:pPr>
        <w:ind w:left="3600" w:hanging="360"/>
      </w:pPr>
      <w:rPr>
        <w:strike w:val="0"/>
        <w:dstrike w:val="0"/>
        <w:u w:val="none"/>
        <w:effect w:val="none"/>
      </w:rPr>
    </w:lvl>
    <w:lvl w:ilvl="5">
      <w:start w:val="1"/>
      <w:numFmt w:val="decimal"/>
      <w:lvlText w:val="%6)"/>
      <w:lvlJc w:val="left"/>
      <w:pPr>
        <w:ind w:left="4320" w:hanging="360"/>
      </w:pPr>
      <w:rPr>
        <w:strike w:val="0"/>
        <w:dstrike w:val="0"/>
        <w:u w:val="none"/>
        <w:effect w:val="none"/>
      </w:rPr>
    </w:lvl>
    <w:lvl w:ilvl="6">
      <w:start w:val="1"/>
      <w:numFmt w:val="lowerLetter"/>
      <w:lvlText w:val="%7."/>
      <w:lvlJc w:val="left"/>
      <w:pPr>
        <w:ind w:left="5040" w:hanging="360"/>
      </w:pPr>
      <w:rPr>
        <w:strike w:val="0"/>
        <w:dstrike w:val="0"/>
        <w:u w:val="none"/>
        <w:effect w:val="none"/>
      </w:rPr>
    </w:lvl>
    <w:lvl w:ilvl="7">
      <w:start w:val="1"/>
      <w:numFmt w:val="lowerRoman"/>
      <w:lvlText w:val="%8."/>
      <w:lvlJc w:val="right"/>
      <w:pPr>
        <w:ind w:left="5760" w:hanging="360"/>
      </w:pPr>
      <w:rPr>
        <w:strike w:val="0"/>
        <w:dstrike w:val="0"/>
        <w:u w:val="none"/>
        <w:effect w:val="none"/>
      </w:rPr>
    </w:lvl>
    <w:lvl w:ilvl="8">
      <w:start w:val="1"/>
      <w:numFmt w:val="decimal"/>
      <w:lvlText w:val="%9."/>
      <w:lvlJc w:val="left"/>
      <w:pPr>
        <w:ind w:left="6480" w:hanging="360"/>
      </w:pPr>
      <w:rPr>
        <w:strike w:val="0"/>
        <w:dstrike w:val="0"/>
        <w:u w:val="none"/>
        <w:effect w:val="none"/>
      </w:rPr>
    </w:lvl>
  </w:abstractNum>
  <w:abstractNum w:abstractNumId="20" w15:restartNumberingAfterBreak="0">
    <w:nsid w:val="515C0B74"/>
    <w:multiLevelType w:val="hybridMultilevel"/>
    <w:tmpl w:val="8CA652B2"/>
    <w:lvl w:ilvl="0" w:tplc="FA4E3CDE">
      <w:start w:val="1"/>
      <w:numFmt w:val="decimal"/>
      <w:pStyle w:val="MainBodyItalic"/>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D27704"/>
    <w:multiLevelType w:val="hybridMultilevel"/>
    <w:tmpl w:val="6C764BF4"/>
    <w:lvl w:ilvl="0" w:tplc="E094414E">
      <w:start w:val="1"/>
      <w:numFmt w:val="decimal"/>
      <w:lvlText w:val="%1."/>
      <w:lvlJc w:val="left"/>
      <w:pPr>
        <w:ind w:left="1100" w:hanging="360"/>
      </w:pPr>
      <w:rPr>
        <w:rFonts w:ascii="Arial" w:hAnsi="Arial" w:cs="Arial" w:hint="default"/>
        <w:i w:val="0"/>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22" w15:restartNumberingAfterBreak="0">
    <w:nsid w:val="53150511"/>
    <w:multiLevelType w:val="hybridMultilevel"/>
    <w:tmpl w:val="016E5458"/>
    <w:lvl w:ilvl="0" w:tplc="3AE23C48">
      <w:start w:val="1"/>
      <w:numFmt w:val="decimal"/>
      <w:lvlText w:val="%1."/>
      <w:lvlJc w:val="left"/>
      <w:pPr>
        <w:ind w:left="360" w:hanging="360"/>
      </w:pPr>
      <w:rPr>
        <w:color w:val="auto"/>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4835B54"/>
    <w:multiLevelType w:val="hybridMultilevel"/>
    <w:tmpl w:val="12A46E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4B0323D"/>
    <w:multiLevelType w:val="hybridMultilevel"/>
    <w:tmpl w:val="BED0BEB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5" w15:restartNumberingAfterBreak="0">
    <w:nsid w:val="559D2E20"/>
    <w:multiLevelType w:val="hybridMultilevel"/>
    <w:tmpl w:val="FF60C14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57CA2777"/>
    <w:multiLevelType w:val="hybridMultilevel"/>
    <w:tmpl w:val="8468EB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58AF6CDC"/>
    <w:multiLevelType w:val="multilevel"/>
    <w:tmpl w:val="0F629A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8D70BF7"/>
    <w:multiLevelType w:val="hybridMultilevel"/>
    <w:tmpl w:val="53F420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B867BEE"/>
    <w:multiLevelType w:val="hybridMultilevel"/>
    <w:tmpl w:val="A1A6D2FA"/>
    <w:lvl w:ilvl="0" w:tplc="409AE938">
      <w:start w:val="1"/>
      <w:numFmt w:val="decimal"/>
      <w:lvlText w:val="%1."/>
      <w:lvlJc w:val="left"/>
      <w:pPr>
        <w:ind w:left="358" w:hanging="360"/>
      </w:pPr>
      <w:rPr>
        <w:rFonts w:hint="default"/>
        <w:i/>
      </w:rPr>
    </w:lvl>
    <w:lvl w:ilvl="1" w:tplc="08090019" w:tentative="1">
      <w:start w:val="1"/>
      <w:numFmt w:val="lowerLetter"/>
      <w:lvlText w:val="%2."/>
      <w:lvlJc w:val="left"/>
      <w:pPr>
        <w:ind w:left="1078" w:hanging="360"/>
      </w:pPr>
    </w:lvl>
    <w:lvl w:ilvl="2" w:tplc="0809001B" w:tentative="1">
      <w:start w:val="1"/>
      <w:numFmt w:val="lowerRoman"/>
      <w:lvlText w:val="%3."/>
      <w:lvlJc w:val="right"/>
      <w:pPr>
        <w:ind w:left="1798" w:hanging="180"/>
      </w:pPr>
    </w:lvl>
    <w:lvl w:ilvl="3" w:tplc="0809000F" w:tentative="1">
      <w:start w:val="1"/>
      <w:numFmt w:val="decimal"/>
      <w:lvlText w:val="%4."/>
      <w:lvlJc w:val="left"/>
      <w:pPr>
        <w:ind w:left="2518" w:hanging="360"/>
      </w:pPr>
    </w:lvl>
    <w:lvl w:ilvl="4" w:tplc="08090019" w:tentative="1">
      <w:start w:val="1"/>
      <w:numFmt w:val="lowerLetter"/>
      <w:lvlText w:val="%5."/>
      <w:lvlJc w:val="left"/>
      <w:pPr>
        <w:ind w:left="3238" w:hanging="360"/>
      </w:pPr>
    </w:lvl>
    <w:lvl w:ilvl="5" w:tplc="0809001B" w:tentative="1">
      <w:start w:val="1"/>
      <w:numFmt w:val="lowerRoman"/>
      <w:lvlText w:val="%6."/>
      <w:lvlJc w:val="right"/>
      <w:pPr>
        <w:ind w:left="3958" w:hanging="180"/>
      </w:pPr>
    </w:lvl>
    <w:lvl w:ilvl="6" w:tplc="0809000F" w:tentative="1">
      <w:start w:val="1"/>
      <w:numFmt w:val="decimal"/>
      <w:lvlText w:val="%7."/>
      <w:lvlJc w:val="left"/>
      <w:pPr>
        <w:ind w:left="4678" w:hanging="360"/>
      </w:pPr>
    </w:lvl>
    <w:lvl w:ilvl="7" w:tplc="08090019" w:tentative="1">
      <w:start w:val="1"/>
      <w:numFmt w:val="lowerLetter"/>
      <w:lvlText w:val="%8."/>
      <w:lvlJc w:val="left"/>
      <w:pPr>
        <w:ind w:left="5398" w:hanging="360"/>
      </w:pPr>
    </w:lvl>
    <w:lvl w:ilvl="8" w:tplc="0809001B" w:tentative="1">
      <w:start w:val="1"/>
      <w:numFmt w:val="lowerRoman"/>
      <w:lvlText w:val="%9."/>
      <w:lvlJc w:val="right"/>
      <w:pPr>
        <w:ind w:left="6118" w:hanging="180"/>
      </w:pPr>
    </w:lvl>
  </w:abstractNum>
  <w:abstractNum w:abstractNumId="30" w15:restartNumberingAfterBreak="0">
    <w:nsid w:val="5EE23ECA"/>
    <w:multiLevelType w:val="hybridMultilevel"/>
    <w:tmpl w:val="3D9AC4A8"/>
    <w:lvl w:ilvl="0" w:tplc="9BEE8426">
      <w:start w:val="6"/>
      <w:numFmt w:val="decimal"/>
      <w:lvlText w:val="%1."/>
      <w:lvlJc w:val="left"/>
      <w:pPr>
        <w:ind w:left="356" w:hanging="360"/>
      </w:pPr>
      <w:rPr>
        <w:rFonts w:hint="default"/>
      </w:rPr>
    </w:lvl>
    <w:lvl w:ilvl="1" w:tplc="08090019" w:tentative="1">
      <w:start w:val="1"/>
      <w:numFmt w:val="lowerLetter"/>
      <w:lvlText w:val="%2."/>
      <w:lvlJc w:val="left"/>
      <w:pPr>
        <w:ind w:left="1076" w:hanging="360"/>
      </w:pPr>
    </w:lvl>
    <w:lvl w:ilvl="2" w:tplc="0809001B" w:tentative="1">
      <w:start w:val="1"/>
      <w:numFmt w:val="lowerRoman"/>
      <w:lvlText w:val="%3."/>
      <w:lvlJc w:val="right"/>
      <w:pPr>
        <w:ind w:left="1796" w:hanging="180"/>
      </w:pPr>
    </w:lvl>
    <w:lvl w:ilvl="3" w:tplc="0809000F" w:tentative="1">
      <w:start w:val="1"/>
      <w:numFmt w:val="decimal"/>
      <w:lvlText w:val="%4."/>
      <w:lvlJc w:val="left"/>
      <w:pPr>
        <w:ind w:left="2516" w:hanging="360"/>
      </w:pPr>
    </w:lvl>
    <w:lvl w:ilvl="4" w:tplc="08090019" w:tentative="1">
      <w:start w:val="1"/>
      <w:numFmt w:val="lowerLetter"/>
      <w:lvlText w:val="%5."/>
      <w:lvlJc w:val="left"/>
      <w:pPr>
        <w:ind w:left="3236" w:hanging="360"/>
      </w:pPr>
    </w:lvl>
    <w:lvl w:ilvl="5" w:tplc="0809001B" w:tentative="1">
      <w:start w:val="1"/>
      <w:numFmt w:val="lowerRoman"/>
      <w:lvlText w:val="%6."/>
      <w:lvlJc w:val="right"/>
      <w:pPr>
        <w:ind w:left="3956" w:hanging="180"/>
      </w:pPr>
    </w:lvl>
    <w:lvl w:ilvl="6" w:tplc="0809000F" w:tentative="1">
      <w:start w:val="1"/>
      <w:numFmt w:val="decimal"/>
      <w:lvlText w:val="%7."/>
      <w:lvlJc w:val="left"/>
      <w:pPr>
        <w:ind w:left="4676" w:hanging="360"/>
      </w:pPr>
    </w:lvl>
    <w:lvl w:ilvl="7" w:tplc="08090019" w:tentative="1">
      <w:start w:val="1"/>
      <w:numFmt w:val="lowerLetter"/>
      <w:lvlText w:val="%8."/>
      <w:lvlJc w:val="left"/>
      <w:pPr>
        <w:ind w:left="5396" w:hanging="360"/>
      </w:pPr>
    </w:lvl>
    <w:lvl w:ilvl="8" w:tplc="0809001B" w:tentative="1">
      <w:start w:val="1"/>
      <w:numFmt w:val="lowerRoman"/>
      <w:lvlText w:val="%9."/>
      <w:lvlJc w:val="right"/>
      <w:pPr>
        <w:ind w:left="6116" w:hanging="180"/>
      </w:pPr>
    </w:lvl>
  </w:abstractNum>
  <w:abstractNum w:abstractNumId="31" w15:restartNumberingAfterBreak="0">
    <w:nsid w:val="61844AE1"/>
    <w:multiLevelType w:val="hybridMultilevel"/>
    <w:tmpl w:val="CFC8BE72"/>
    <w:lvl w:ilvl="0" w:tplc="4ECEC58A">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2DD73EB"/>
    <w:multiLevelType w:val="hybridMultilevel"/>
    <w:tmpl w:val="F93E5ACA"/>
    <w:lvl w:ilvl="0" w:tplc="84E2448A">
      <w:start w:val="2"/>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69B92369"/>
    <w:multiLevelType w:val="hybridMultilevel"/>
    <w:tmpl w:val="462A42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6CC9371E"/>
    <w:multiLevelType w:val="hybridMultilevel"/>
    <w:tmpl w:val="6C902A1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5" w15:restartNumberingAfterBreak="0">
    <w:nsid w:val="6D6A4B17"/>
    <w:multiLevelType w:val="multilevel"/>
    <w:tmpl w:val="F2A8B912"/>
    <w:lvl w:ilvl="0">
      <w:start w:val="1"/>
      <w:numFmt w:val="lowerLetter"/>
      <w:lvlText w:val="(%1)"/>
      <w:lvlJc w:val="left"/>
      <w:pPr>
        <w:ind w:left="360" w:hanging="360"/>
      </w:pPr>
      <w:rPr>
        <w:vertAlign w:val="baseline"/>
      </w:r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36" w15:restartNumberingAfterBreak="0">
    <w:nsid w:val="6DD126FB"/>
    <w:multiLevelType w:val="multilevel"/>
    <w:tmpl w:val="53AEB94C"/>
    <w:lvl w:ilvl="0">
      <w:start w:val="1"/>
      <w:numFmt w:val="lowerLetter"/>
      <w:lvlText w:val="(%1)"/>
      <w:lvlJc w:val="left"/>
      <w:pPr>
        <w:ind w:left="720" w:hanging="360"/>
      </w:pPr>
      <w:rPr>
        <w:u w:val="none"/>
      </w:rPr>
    </w:lvl>
    <w:lvl w:ilvl="1">
      <w:start w:val="1"/>
      <w:numFmt w:val="lowerRoman"/>
      <w:lvlText w:val="(%2)"/>
      <w:lvlJc w:val="right"/>
      <w:pPr>
        <w:ind w:left="1440" w:hanging="360"/>
      </w:pPr>
      <w:rPr>
        <w:u w:val="none"/>
      </w:rPr>
    </w:lvl>
    <w:lvl w:ilvl="2">
      <w:start w:val="1"/>
      <w:numFmt w:val="decimal"/>
      <w:lvlText w:val="(%3)"/>
      <w:lvlJc w:val="left"/>
      <w:pPr>
        <w:ind w:left="2160" w:hanging="360"/>
      </w:pPr>
      <w:rPr>
        <w:u w:val="none"/>
      </w:rPr>
    </w:lvl>
    <w:lvl w:ilvl="3">
      <w:start w:val="1"/>
      <w:numFmt w:val="lowerLetter"/>
      <w:lvlText w:val="%4)"/>
      <w:lvlJc w:val="left"/>
      <w:pPr>
        <w:ind w:left="2880" w:hanging="360"/>
      </w:pPr>
      <w:rPr>
        <w:u w:val="none"/>
      </w:rPr>
    </w:lvl>
    <w:lvl w:ilvl="4">
      <w:start w:val="1"/>
      <w:numFmt w:val="lowerRoman"/>
      <w:lvlText w:val="%5)"/>
      <w:lvlJc w:val="right"/>
      <w:pPr>
        <w:ind w:left="3600" w:hanging="360"/>
      </w:pPr>
      <w:rPr>
        <w:u w:val="none"/>
      </w:rPr>
    </w:lvl>
    <w:lvl w:ilvl="5">
      <w:start w:val="1"/>
      <w:numFmt w:val="decimal"/>
      <w:lvlText w:val="%6)"/>
      <w:lvlJc w:val="left"/>
      <w:pPr>
        <w:ind w:left="4320" w:hanging="360"/>
      </w:pPr>
      <w:rPr>
        <w:u w:val="none"/>
      </w:rPr>
    </w:lvl>
    <w:lvl w:ilvl="6">
      <w:start w:val="1"/>
      <w:numFmt w:val="lowerLetter"/>
      <w:lvlText w:val="%7."/>
      <w:lvlJc w:val="left"/>
      <w:pPr>
        <w:ind w:left="5040" w:hanging="360"/>
      </w:pPr>
      <w:rPr>
        <w:u w:val="none"/>
      </w:rPr>
    </w:lvl>
    <w:lvl w:ilvl="7">
      <w:start w:val="1"/>
      <w:numFmt w:val="lowerRoman"/>
      <w:lvlText w:val="%8."/>
      <w:lvlJc w:val="right"/>
      <w:pPr>
        <w:ind w:left="5760" w:hanging="360"/>
      </w:pPr>
      <w:rPr>
        <w:u w:val="none"/>
      </w:rPr>
    </w:lvl>
    <w:lvl w:ilvl="8">
      <w:start w:val="1"/>
      <w:numFmt w:val="decimal"/>
      <w:lvlText w:val="%9."/>
      <w:lvlJc w:val="left"/>
      <w:pPr>
        <w:ind w:left="6480" w:hanging="360"/>
      </w:pPr>
      <w:rPr>
        <w:u w:val="none"/>
      </w:rPr>
    </w:lvl>
  </w:abstractNum>
  <w:abstractNum w:abstractNumId="37" w15:restartNumberingAfterBreak="0">
    <w:nsid w:val="73AE1D98"/>
    <w:multiLevelType w:val="hybridMultilevel"/>
    <w:tmpl w:val="FA62199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8" w15:restartNumberingAfterBreak="0">
    <w:nsid w:val="7504692E"/>
    <w:multiLevelType w:val="hybridMultilevel"/>
    <w:tmpl w:val="0828464A"/>
    <w:lvl w:ilvl="0" w:tplc="E094414E">
      <w:start w:val="1"/>
      <w:numFmt w:val="decimal"/>
      <w:lvlText w:val="%1."/>
      <w:lvlJc w:val="left"/>
      <w:pPr>
        <w:ind w:left="1100" w:hanging="360"/>
      </w:pPr>
      <w:rPr>
        <w:rFonts w:ascii="Arial" w:hAnsi="Arial" w:cs="Arial" w:hint="default"/>
        <w:i w:val="0"/>
      </w:rPr>
    </w:lvl>
    <w:lvl w:ilvl="1" w:tplc="08090019" w:tentative="1">
      <w:start w:val="1"/>
      <w:numFmt w:val="lowerLetter"/>
      <w:lvlText w:val="%2."/>
      <w:lvlJc w:val="left"/>
      <w:pPr>
        <w:ind w:left="1820" w:hanging="360"/>
      </w:pPr>
    </w:lvl>
    <w:lvl w:ilvl="2" w:tplc="0809001B" w:tentative="1">
      <w:start w:val="1"/>
      <w:numFmt w:val="lowerRoman"/>
      <w:lvlText w:val="%3."/>
      <w:lvlJc w:val="right"/>
      <w:pPr>
        <w:ind w:left="2540" w:hanging="180"/>
      </w:pPr>
    </w:lvl>
    <w:lvl w:ilvl="3" w:tplc="0809000F" w:tentative="1">
      <w:start w:val="1"/>
      <w:numFmt w:val="decimal"/>
      <w:lvlText w:val="%4."/>
      <w:lvlJc w:val="left"/>
      <w:pPr>
        <w:ind w:left="3260" w:hanging="360"/>
      </w:pPr>
    </w:lvl>
    <w:lvl w:ilvl="4" w:tplc="08090019" w:tentative="1">
      <w:start w:val="1"/>
      <w:numFmt w:val="lowerLetter"/>
      <w:lvlText w:val="%5."/>
      <w:lvlJc w:val="left"/>
      <w:pPr>
        <w:ind w:left="3980" w:hanging="360"/>
      </w:pPr>
    </w:lvl>
    <w:lvl w:ilvl="5" w:tplc="0809001B" w:tentative="1">
      <w:start w:val="1"/>
      <w:numFmt w:val="lowerRoman"/>
      <w:lvlText w:val="%6."/>
      <w:lvlJc w:val="right"/>
      <w:pPr>
        <w:ind w:left="4700" w:hanging="180"/>
      </w:pPr>
    </w:lvl>
    <w:lvl w:ilvl="6" w:tplc="0809000F" w:tentative="1">
      <w:start w:val="1"/>
      <w:numFmt w:val="decimal"/>
      <w:lvlText w:val="%7."/>
      <w:lvlJc w:val="left"/>
      <w:pPr>
        <w:ind w:left="5420" w:hanging="360"/>
      </w:pPr>
    </w:lvl>
    <w:lvl w:ilvl="7" w:tplc="08090019" w:tentative="1">
      <w:start w:val="1"/>
      <w:numFmt w:val="lowerLetter"/>
      <w:lvlText w:val="%8."/>
      <w:lvlJc w:val="left"/>
      <w:pPr>
        <w:ind w:left="6140" w:hanging="360"/>
      </w:pPr>
    </w:lvl>
    <w:lvl w:ilvl="8" w:tplc="0809001B" w:tentative="1">
      <w:start w:val="1"/>
      <w:numFmt w:val="lowerRoman"/>
      <w:lvlText w:val="%9."/>
      <w:lvlJc w:val="right"/>
      <w:pPr>
        <w:ind w:left="6860" w:hanging="180"/>
      </w:pPr>
    </w:lvl>
  </w:abstractNum>
  <w:abstractNum w:abstractNumId="39" w15:restartNumberingAfterBreak="0">
    <w:nsid w:val="7E6D5F39"/>
    <w:multiLevelType w:val="hybridMultilevel"/>
    <w:tmpl w:val="9C945D70"/>
    <w:lvl w:ilvl="0" w:tplc="409AE938">
      <w:start w:val="1"/>
      <w:numFmt w:val="decimal"/>
      <w:lvlText w:val="%1."/>
      <w:lvlJc w:val="left"/>
      <w:pPr>
        <w:ind w:left="356" w:hanging="360"/>
      </w:pPr>
      <w:rPr>
        <w:rFonts w:hint="default"/>
        <w:i/>
      </w:rPr>
    </w:lvl>
    <w:lvl w:ilvl="1" w:tplc="08090019" w:tentative="1">
      <w:start w:val="1"/>
      <w:numFmt w:val="lowerLetter"/>
      <w:lvlText w:val="%2."/>
      <w:lvlJc w:val="left"/>
      <w:pPr>
        <w:ind w:left="1438" w:hanging="360"/>
      </w:pPr>
    </w:lvl>
    <w:lvl w:ilvl="2" w:tplc="0809001B" w:tentative="1">
      <w:start w:val="1"/>
      <w:numFmt w:val="lowerRoman"/>
      <w:lvlText w:val="%3."/>
      <w:lvlJc w:val="right"/>
      <w:pPr>
        <w:ind w:left="2158" w:hanging="180"/>
      </w:pPr>
    </w:lvl>
    <w:lvl w:ilvl="3" w:tplc="0809000F" w:tentative="1">
      <w:start w:val="1"/>
      <w:numFmt w:val="decimal"/>
      <w:lvlText w:val="%4."/>
      <w:lvlJc w:val="left"/>
      <w:pPr>
        <w:ind w:left="2878" w:hanging="360"/>
      </w:pPr>
    </w:lvl>
    <w:lvl w:ilvl="4" w:tplc="08090019" w:tentative="1">
      <w:start w:val="1"/>
      <w:numFmt w:val="lowerLetter"/>
      <w:lvlText w:val="%5."/>
      <w:lvlJc w:val="left"/>
      <w:pPr>
        <w:ind w:left="3598" w:hanging="360"/>
      </w:pPr>
    </w:lvl>
    <w:lvl w:ilvl="5" w:tplc="0809001B" w:tentative="1">
      <w:start w:val="1"/>
      <w:numFmt w:val="lowerRoman"/>
      <w:lvlText w:val="%6."/>
      <w:lvlJc w:val="right"/>
      <w:pPr>
        <w:ind w:left="4318" w:hanging="180"/>
      </w:pPr>
    </w:lvl>
    <w:lvl w:ilvl="6" w:tplc="0809000F" w:tentative="1">
      <w:start w:val="1"/>
      <w:numFmt w:val="decimal"/>
      <w:lvlText w:val="%7."/>
      <w:lvlJc w:val="left"/>
      <w:pPr>
        <w:ind w:left="5038" w:hanging="360"/>
      </w:pPr>
    </w:lvl>
    <w:lvl w:ilvl="7" w:tplc="08090019" w:tentative="1">
      <w:start w:val="1"/>
      <w:numFmt w:val="lowerLetter"/>
      <w:lvlText w:val="%8."/>
      <w:lvlJc w:val="left"/>
      <w:pPr>
        <w:ind w:left="5758" w:hanging="360"/>
      </w:pPr>
    </w:lvl>
    <w:lvl w:ilvl="8" w:tplc="0809001B" w:tentative="1">
      <w:start w:val="1"/>
      <w:numFmt w:val="lowerRoman"/>
      <w:lvlText w:val="%9."/>
      <w:lvlJc w:val="right"/>
      <w:pPr>
        <w:ind w:left="6478" w:hanging="180"/>
      </w:pPr>
    </w:lvl>
  </w:abstractNum>
  <w:num w:numId="1">
    <w:abstractNumId w:val="5"/>
  </w:num>
  <w:num w:numId="2">
    <w:abstractNumId w:val="21"/>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8"/>
  </w:num>
  <w:num w:numId="5">
    <w:abstractNumId w:val="17"/>
  </w:num>
  <w:num w:numId="6">
    <w:abstractNumId w:val="24"/>
  </w:num>
  <w:num w:numId="7">
    <w:abstractNumId w:val="22"/>
  </w:num>
  <w:num w:numId="8">
    <w:abstractNumId w:val="18"/>
  </w:num>
  <w:num w:numId="9">
    <w:abstractNumId w:val="35"/>
  </w:num>
  <w:num w:numId="10">
    <w:abstractNumId w:val="7"/>
  </w:num>
  <w:num w:numId="11">
    <w:abstractNumId w:val="4"/>
  </w:num>
  <w:num w:numId="12">
    <w:abstractNumId w:val="37"/>
  </w:num>
  <w:num w:numId="13">
    <w:abstractNumId w:val="1"/>
  </w:num>
  <w:num w:numId="14">
    <w:abstractNumId w:val="12"/>
  </w:num>
  <w:num w:numId="15">
    <w:abstractNumId w:val="34"/>
  </w:num>
  <w:num w:numId="16">
    <w:abstractNumId w:val="33"/>
  </w:num>
  <w:num w:numId="17">
    <w:abstractNumId w:val="26"/>
  </w:num>
  <w:num w:numId="18">
    <w:abstractNumId w:val="28"/>
  </w:num>
  <w:num w:numId="19">
    <w:abstractNumId w:val="23"/>
  </w:num>
  <w:num w:numId="20">
    <w:abstractNumId w:val="2"/>
  </w:num>
  <w:num w:numId="21">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27"/>
  </w:num>
  <w:num w:numId="25">
    <w:abstractNumId w:val="15"/>
  </w:num>
  <w:num w:numId="26">
    <w:abstractNumId w:val="13"/>
  </w:num>
  <w:num w:numId="27">
    <w:abstractNumId w:val="3"/>
  </w:num>
  <w:num w:numId="28">
    <w:abstractNumId w:val="36"/>
  </w:num>
  <w:num w:numId="29">
    <w:abstractNumId w:val="14"/>
  </w:num>
  <w:num w:numId="30">
    <w:abstractNumId w:val="29"/>
  </w:num>
  <w:num w:numId="31">
    <w:abstractNumId w:val="39"/>
  </w:num>
  <w:num w:numId="32">
    <w:abstractNumId w:val="30"/>
  </w:num>
  <w:num w:numId="33">
    <w:abstractNumId w:val="0"/>
  </w:num>
  <w:num w:numId="34">
    <w:abstractNumId w:val="25"/>
  </w:num>
  <w:num w:numId="35">
    <w:abstractNumId w:val="20"/>
  </w:num>
  <w:num w:numId="36">
    <w:abstractNumId w:val="8"/>
  </w:num>
  <w:num w:numId="37">
    <w:abstractNumId w:val="10"/>
  </w:num>
  <w:num w:numId="38">
    <w:abstractNumId w:val="11"/>
  </w:num>
  <w:num w:numId="39">
    <w:abstractNumId w:val="32"/>
  </w:num>
  <w:num w:numId="40">
    <w:abstractNumId w:val="3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ocumentProtection w:edit="readOnly" w:enforcement="1" w:cryptProviderType="rsaAES" w:cryptAlgorithmClass="hash" w:cryptAlgorithmType="typeAny" w:cryptAlgorithmSid="14" w:cryptSpinCount="100000" w:hash="AUT87SrX+ffIudYR0CcCdtjw2V1/jxrm/aEMfgZEO+fTwfGkl3STVtl9hyjVw6adSLtvLc4Brw7prdT/8L2sXQ==" w:salt="/mJZBR3qJF/oVN21hEAdEA=="/>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0EE7"/>
    <w:rsid w:val="00004641"/>
    <w:rsid w:val="00010822"/>
    <w:rsid w:val="000145DB"/>
    <w:rsid w:val="0002229B"/>
    <w:rsid w:val="0002728D"/>
    <w:rsid w:val="00035AF2"/>
    <w:rsid w:val="00040482"/>
    <w:rsid w:val="00042573"/>
    <w:rsid w:val="00074FD8"/>
    <w:rsid w:val="00076055"/>
    <w:rsid w:val="000816AA"/>
    <w:rsid w:val="00081A9A"/>
    <w:rsid w:val="000A0800"/>
    <w:rsid w:val="000A5C3E"/>
    <w:rsid w:val="000B5B29"/>
    <w:rsid w:val="000B7D76"/>
    <w:rsid w:val="000C0EE1"/>
    <w:rsid w:val="000C1633"/>
    <w:rsid w:val="000C3E7E"/>
    <w:rsid w:val="000D3681"/>
    <w:rsid w:val="000D36E8"/>
    <w:rsid w:val="000D5A95"/>
    <w:rsid w:val="000D7F74"/>
    <w:rsid w:val="000E35B6"/>
    <w:rsid w:val="000E576C"/>
    <w:rsid w:val="000E580F"/>
    <w:rsid w:val="000F4E86"/>
    <w:rsid w:val="000F5352"/>
    <w:rsid w:val="001015DF"/>
    <w:rsid w:val="00104704"/>
    <w:rsid w:val="00114FB5"/>
    <w:rsid w:val="00115104"/>
    <w:rsid w:val="00121AEB"/>
    <w:rsid w:val="00121CD3"/>
    <w:rsid w:val="001231BD"/>
    <w:rsid w:val="001243BC"/>
    <w:rsid w:val="00142257"/>
    <w:rsid w:val="00146E87"/>
    <w:rsid w:val="00146F09"/>
    <w:rsid w:val="001572FE"/>
    <w:rsid w:val="00161A4B"/>
    <w:rsid w:val="00161B5F"/>
    <w:rsid w:val="00173453"/>
    <w:rsid w:val="00173728"/>
    <w:rsid w:val="00181832"/>
    <w:rsid w:val="00181F2D"/>
    <w:rsid w:val="001927E7"/>
    <w:rsid w:val="00196525"/>
    <w:rsid w:val="00196A2F"/>
    <w:rsid w:val="001C208B"/>
    <w:rsid w:val="001D6F2F"/>
    <w:rsid w:val="001E4C97"/>
    <w:rsid w:val="001E6FE7"/>
    <w:rsid w:val="001F1020"/>
    <w:rsid w:val="001F2A75"/>
    <w:rsid w:val="001F319E"/>
    <w:rsid w:val="001F46A3"/>
    <w:rsid w:val="001F5A5F"/>
    <w:rsid w:val="002034AF"/>
    <w:rsid w:val="00217767"/>
    <w:rsid w:val="00221002"/>
    <w:rsid w:val="00221AFC"/>
    <w:rsid w:val="00221B1B"/>
    <w:rsid w:val="0022467A"/>
    <w:rsid w:val="0022492F"/>
    <w:rsid w:val="00234D79"/>
    <w:rsid w:val="002367E4"/>
    <w:rsid w:val="00237351"/>
    <w:rsid w:val="0024550F"/>
    <w:rsid w:val="002456EC"/>
    <w:rsid w:val="00245708"/>
    <w:rsid w:val="00247802"/>
    <w:rsid w:val="002516D2"/>
    <w:rsid w:val="002557B5"/>
    <w:rsid w:val="002604EB"/>
    <w:rsid w:val="002621C8"/>
    <w:rsid w:val="00265B65"/>
    <w:rsid w:val="0026793E"/>
    <w:rsid w:val="0027046B"/>
    <w:rsid w:val="002778CA"/>
    <w:rsid w:val="00284497"/>
    <w:rsid w:val="00284EA1"/>
    <w:rsid w:val="0029013D"/>
    <w:rsid w:val="00290FE9"/>
    <w:rsid w:val="002925B4"/>
    <w:rsid w:val="00295A71"/>
    <w:rsid w:val="00296224"/>
    <w:rsid w:val="00297B4E"/>
    <w:rsid w:val="002A46D5"/>
    <w:rsid w:val="002B5D09"/>
    <w:rsid w:val="002D20C8"/>
    <w:rsid w:val="002D365F"/>
    <w:rsid w:val="002D3C30"/>
    <w:rsid w:val="002E2D1A"/>
    <w:rsid w:val="002E31DD"/>
    <w:rsid w:val="002F2BB0"/>
    <w:rsid w:val="003108AF"/>
    <w:rsid w:val="00312DA9"/>
    <w:rsid w:val="00312FFE"/>
    <w:rsid w:val="00314AAC"/>
    <w:rsid w:val="0032014C"/>
    <w:rsid w:val="00320398"/>
    <w:rsid w:val="0032117A"/>
    <w:rsid w:val="00324822"/>
    <w:rsid w:val="003325B7"/>
    <w:rsid w:val="0034750D"/>
    <w:rsid w:val="00354774"/>
    <w:rsid w:val="003617DA"/>
    <w:rsid w:val="00372FA8"/>
    <w:rsid w:val="00376DCC"/>
    <w:rsid w:val="00381D5F"/>
    <w:rsid w:val="00391972"/>
    <w:rsid w:val="0039245E"/>
    <w:rsid w:val="003A18AD"/>
    <w:rsid w:val="003A3F76"/>
    <w:rsid w:val="003A480F"/>
    <w:rsid w:val="003C1DEB"/>
    <w:rsid w:val="003C2784"/>
    <w:rsid w:val="003C2F13"/>
    <w:rsid w:val="003C5DC0"/>
    <w:rsid w:val="003D4634"/>
    <w:rsid w:val="003D4F75"/>
    <w:rsid w:val="003E73B7"/>
    <w:rsid w:val="003F03EB"/>
    <w:rsid w:val="003F154C"/>
    <w:rsid w:val="003F23F8"/>
    <w:rsid w:val="003F2798"/>
    <w:rsid w:val="003F625D"/>
    <w:rsid w:val="003F7C19"/>
    <w:rsid w:val="004117CA"/>
    <w:rsid w:val="00411CAB"/>
    <w:rsid w:val="0042190F"/>
    <w:rsid w:val="00423D02"/>
    <w:rsid w:val="004319D5"/>
    <w:rsid w:val="004352EF"/>
    <w:rsid w:val="0043597F"/>
    <w:rsid w:val="00441EE8"/>
    <w:rsid w:val="0044322D"/>
    <w:rsid w:val="00443D15"/>
    <w:rsid w:val="004452CB"/>
    <w:rsid w:val="004453EF"/>
    <w:rsid w:val="004470AA"/>
    <w:rsid w:val="00447FBE"/>
    <w:rsid w:val="004565DA"/>
    <w:rsid w:val="004701A5"/>
    <w:rsid w:val="00475921"/>
    <w:rsid w:val="0047606C"/>
    <w:rsid w:val="0048075A"/>
    <w:rsid w:val="0049023A"/>
    <w:rsid w:val="00491755"/>
    <w:rsid w:val="004937F0"/>
    <w:rsid w:val="004940CF"/>
    <w:rsid w:val="00494BAD"/>
    <w:rsid w:val="00497FD2"/>
    <w:rsid w:val="004B4CF2"/>
    <w:rsid w:val="004B61DC"/>
    <w:rsid w:val="004F4C1A"/>
    <w:rsid w:val="00513BDA"/>
    <w:rsid w:val="00521E87"/>
    <w:rsid w:val="00522DCC"/>
    <w:rsid w:val="00525A5D"/>
    <w:rsid w:val="00526781"/>
    <w:rsid w:val="00526CCC"/>
    <w:rsid w:val="00533F9A"/>
    <w:rsid w:val="00535B46"/>
    <w:rsid w:val="00536F64"/>
    <w:rsid w:val="00542B52"/>
    <w:rsid w:val="00552B4D"/>
    <w:rsid w:val="00552E49"/>
    <w:rsid w:val="00553636"/>
    <w:rsid w:val="00553886"/>
    <w:rsid w:val="00565EB8"/>
    <w:rsid w:val="0057353C"/>
    <w:rsid w:val="005739FD"/>
    <w:rsid w:val="00580310"/>
    <w:rsid w:val="00584C35"/>
    <w:rsid w:val="005852C1"/>
    <w:rsid w:val="005949DA"/>
    <w:rsid w:val="00594B5D"/>
    <w:rsid w:val="005973C8"/>
    <w:rsid w:val="005A000B"/>
    <w:rsid w:val="005A37F1"/>
    <w:rsid w:val="005A4E14"/>
    <w:rsid w:val="005A6D76"/>
    <w:rsid w:val="005C2231"/>
    <w:rsid w:val="005D1757"/>
    <w:rsid w:val="005F46C1"/>
    <w:rsid w:val="00600E8C"/>
    <w:rsid w:val="00601032"/>
    <w:rsid w:val="00603390"/>
    <w:rsid w:val="00606699"/>
    <w:rsid w:val="00610E41"/>
    <w:rsid w:val="00614658"/>
    <w:rsid w:val="00614CEF"/>
    <w:rsid w:val="00616DAD"/>
    <w:rsid w:val="00623C49"/>
    <w:rsid w:val="006327A9"/>
    <w:rsid w:val="006408A6"/>
    <w:rsid w:val="006434BC"/>
    <w:rsid w:val="00650785"/>
    <w:rsid w:val="006519F1"/>
    <w:rsid w:val="0065562E"/>
    <w:rsid w:val="00657B91"/>
    <w:rsid w:val="00665643"/>
    <w:rsid w:val="00672610"/>
    <w:rsid w:val="00675A55"/>
    <w:rsid w:val="0068201E"/>
    <w:rsid w:val="00684D96"/>
    <w:rsid w:val="0068527C"/>
    <w:rsid w:val="0069226A"/>
    <w:rsid w:val="0069541E"/>
    <w:rsid w:val="006B14F8"/>
    <w:rsid w:val="006B737E"/>
    <w:rsid w:val="006C2461"/>
    <w:rsid w:val="006C5664"/>
    <w:rsid w:val="006D031D"/>
    <w:rsid w:val="006D4665"/>
    <w:rsid w:val="006E520A"/>
    <w:rsid w:val="0071655E"/>
    <w:rsid w:val="007328DE"/>
    <w:rsid w:val="00734097"/>
    <w:rsid w:val="00737862"/>
    <w:rsid w:val="00740692"/>
    <w:rsid w:val="00742699"/>
    <w:rsid w:val="00743169"/>
    <w:rsid w:val="007523F2"/>
    <w:rsid w:val="00754C67"/>
    <w:rsid w:val="00761839"/>
    <w:rsid w:val="00766134"/>
    <w:rsid w:val="007704B8"/>
    <w:rsid w:val="007742B4"/>
    <w:rsid w:val="00787697"/>
    <w:rsid w:val="00790C1E"/>
    <w:rsid w:val="00793101"/>
    <w:rsid w:val="007936E6"/>
    <w:rsid w:val="007A1238"/>
    <w:rsid w:val="007A3D77"/>
    <w:rsid w:val="007A3E11"/>
    <w:rsid w:val="007A716A"/>
    <w:rsid w:val="007B1216"/>
    <w:rsid w:val="007B1556"/>
    <w:rsid w:val="007B2D1C"/>
    <w:rsid w:val="007B443E"/>
    <w:rsid w:val="007B457D"/>
    <w:rsid w:val="007B56A8"/>
    <w:rsid w:val="007C1F22"/>
    <w:rsid w:val="007C3579"/>
    <w:rsid w:val="007D0D47"/>
    <w:rsid w:val="007D304E"/>
    <w:rsid w:val="007E4882"/>
    <w:rsid w:val="007E7CFB"/>
    <w:rsid w:val="008003D1"/>
    <w:rsid w:val="008041AA"/>
    <w:rsid w:val="00804EF0"/>
    <w:rsid w:val="0081302F"/>
    <w:rsid w:val="00813482"/>
    <w:rsid w:val="00813877"/>
    <w:rsid w:val="00814B34"/>
    <w:rsid w:val="00815D5F"/>
    <w:rsid w:val="00816AD4"/>
    <w:rsid w:val="008208F1"/>
    <w:rsid w:val="00835843"/>
    <w:rsid w:val="0083791D"/>
    <w:rsid w:val="00841F66"/>
    <w:rsid w:val="008474A7"/>
    <w:rsid w:val="00852EDB"/>
    <w:rsid w:val="008600B8"/>
    <w:rsid w:val="00860876"/>
    <w:rsid w:val="008649B9"/>
    <w:rsid w:val="00864EF6"/>
    <w:rsid w:val="00875322"/>
    <w:rsid w:val="00877F5E"/>
    <w:rsid w:val="0088544F"/>
    <w:rsid w:val="00895902"/>
    <w:rsid w:val="00895A40"/>
    <w:rsid w:val="0089685B"/>
    <w:rsid w:val="008A61B8"/>
    <w:rsid w:val="008A6342"/>
    <w:rsid w:val="008B045D"/>
    <w:rsid w:val="008B0944"/>
    <w:rsid w:val="008B1C97"/>
    <w:rsid w:val="008B4023"/>
    <w:rsid w:val="008B5839"/>
    <w:rsid w:val="008C1E7F"/>
    <w:rsid w:val="008C7CA6"/>
    <w:rsid w:val="008D5CEF"/>
    <w:rsid w:val="008E1012"/>
    <w:rsid w:val="008E27A3"/>
    <w:rsid w:val="008F1EE4"/>
    <w:rsid w:val="008F1FD7"/>
    <w:rsid w:val="008F2707"/>
    <w:rsid w:val="00913474"/>
    <w:rsid w:val="00917A61"/>
    <w:rsid w:val="00920A3C"/>
    <w:rsid w:val="00922D77"/>
    <w:rsid w:val="0092739D"/>
    <w:rsid w:val="00927F16"/>
    <w:rsid w:val="009326BB"/>
    <w:rsid w:val="00933BF0"/>
    <w:rsid w:val="00945E3C"/>
    <w:rsid w:val="009503A4"/>
    <w:rsid w:val="00953964"/>
    <w:rsid w:val="0095568D"/>
    <w:rsid w:val="00957F82"/>
    <w:rsid w:val="00960D49"/>
    <w:rsid w:val="00962B61"/>
    <w:rsid w:val="00966AED"/>
    <w:rsid w:val="009670B2"/>
    <w:rsid w:val="00973074"/>
    <w:rsid w:val="00976D19"/>
    <w:rsid w:val="00993838"/>
    <w:rsid w:val="009A03C4"/>
    <w:rsid w:val="009B294D"/>
    <w:rsid w:val="009B719A"/>
    <w:rsid w:val="009B7A32"/>
    <w:rsid w:val="009C0CA1"/>
    <w:rsid w:val="009C0E47"/>
    <w:rsid w:val="009C1721"/>
    <w:rsid w:val="009C36E3"/>
    <w:rsid w:val="009D4B82"/>
    <w:rsid w:val="009D4BEB"/>
    <w:rsid w:val="009D54F9"/>
    <w:rsid w:val="009D796E"/>
    <w:rsid w:val="009F5ED9"/>
    <w:rsid w:val="00A00CBE"/>
    <w:rsid w:val="00A03AE6"/>
    <w:rsid w:val="00A0419A"/>
    <w:rsid w:val="00A0503A"/>
    <w:rsid w:val="00A072B4"/>
    <w:rsid w:val="00A11BF4"/>
    <w:rsid w:val="00A154EE"/>
    <w:rsid w:val="00A159E6"/>
    <w:rsid w:val="00A217E8"/>
    <w:rsid w:val="00A21901"/>
    <w:rsid w:val="00A22F57"/>
    <w:rsid w:val="00A23443"/>
    <w:rsid w:val="00A235FB"/>
    <w:rsid w:val="00A23B6A"/>
    <w:rsid w:val="00A24031"/>
    <w:rsid w:val="00A250A4"/>
    <w:rsid w:val="00A252E5"/>
    <w:rsid w:val="00A2563E"/>
    <w:rsid w:val="00A27EAB"/>
    <w:rsid w:val="00A34338"/>
    <w:rsid w:val="00A370A9"/>
    <w:rsid w:val="00A37F98"/>
    <w:rsid w:val="00A41243"/>
    <w:rsid w:val="00A41D2D"/>
    <w:rsid w:val="00A51215"/>
    <w:rsid w:val="00A638D3"/>
    <w:rsid w:val="00A64465"/>
    <w:rsid w:val="00A64B81"/>
    <w:rsid w:val="00A67EE7"/>
    <w:rsid w:val="00A84A84"/>
    <w:rsid w:val="00AA1F24"/>
    <w:rsid w:val="00AA3110"/>
    <w:rsid w:val="00AB00CF"/>
    <w:rsid w:val="00AB596D"/>
    <w:rsid w:val="00AC6E7C"/>
    <w:rsid w:val="00AC6FFF"/>
    <w:rsid w:val="00AC7AB9"/>
    <w:rsid w:val="00AC7E6C"/>
    <w:rsid w:val="00AD4FEE"/>
    <w:rsid w:val="00AE0A6F"/>
    <w:rsid w:val="00AE107A"/>
    <w:rsid w:val="00AE708C"/>
    <w:rsid w:val="00AE7C89"/>
    <w:rsid w:val="00AF27E1"/>
    <w:rsid w:val="00AF67B1"/>
    <w:rsid w:val="00B05725"/>
    <w:rsid w:val="00B13395"/>
    <w:rsid w:val="00B1543B"/>
    <w:rsid w:val="00B32E8C"/>
    <w:rsid w:val="00B34CF9"/>
    <w:rsid w:val="00B364FA"/>
    <w:rsid w:val="00B40EDD"/>
    <w:rsid w:val="00B424A0"/>
    <w:rsid w:val="00B42999"/>
    <w:rsid w:val="00B4540A"/>
    <w:rsid w:val="00B5207D"/>
    <w:rsid w:val="00B73CD8"/>
    <w:rsid w:val="00B75A52"/>
    <w:rsid w:val="00B849CC"/>
    <w:rsid w:val="00B8703D"/>
    <w:rsid w:val="00B923C5"/>
    <w:rsid w:val="00BA1C25"/>
    <w:rsid w:val="00BA4EF7"/>
    <w:rsid w:val="00BB1F24"/>
    <w:rsid w:val="00BB44B6"/>
    <w:rsid w:val="00BB6698"/>
    <w:rsid w:val="00BB75A6"/>
    <w:rsid w:val="00BC042A"/>
    <w:rsid w:val="00BC192E"/>
    <w:rsid w:val="00BD209B"/>
    <w:rsid w:val="00BE5E8A"/>
    <w:rsid w:val="00BE7874"/>
    <w:rsid w:val="00BF3750"/>
    <w:rsid w:val="00BF7E2F"/>
    <w:rsid w:val="00C02A5A"/>
    <w:rsid w:val="00C04997"/>
    <w:rsid w:val="00C0503C"/>
    <w:rsid w:val="00C151B2"/>
    <w:rsid w:val="00C177C3"/>
    <w:rsid w:val="00C17C6F"/>
    <w:rsid w:val="00C231C4"/>
    <w:rsid w:val="00C31C69"/>
    <w:rsid w:val="00C349FA"/>
    <w:rsid w:val="00C44335"/>
    <w:rsid w:val="00C52AA8"/>
    <w:rsid w:val="00C52ECF"/>
    <w:rsid w:val="00C53A60"/>
    <w:rsid w:val="00C57D99"/>
    <w:rsid w:val="00C607BA"/>
    <w:rsid w:val="00C67935"/>
    <w:rsid w:val="00C824C6"/>
    <w:rsid w:val="00C82A01"/>
    <w:rsid w:val="00C84ED0"/>
    <w:rsid w:val="00C8633F"/>
    <w:rsid w:val="00C90588"/>
    <w:rsid w:val="00CA259A"/>
    <w:rsid w:val="00CB411A"/>
    <w:rsid w:val="00CD3735"/>
    <w:rsid w:val="00CD637A"/>
    <w:rsid w:val="00CF4D75"/>
    <w:rsid w:val="00CF5777"/>
    <w:rsid w:val="00CF6AC7"/>
    <w:rsid w:val="00D012D6"/>
    <w:rsid w:val="00D02271"/>
    <w:rsid w:val="00D06FFD"/>
    <w:rsid w:val="00D125A6"/>
    <w:rsid w:val="00D14C2F"/>
    <w:rsid w:val="00D223E6"/>
    <w:rsid w:val="00D25FF1"/>
    <w:rsid w:val="00D31C2E"/>
    <w:rsid w:val="00D37DFC"/>
    <w:rsid w:val="00D530B9"/>
    <w:rsid w:val="00D5341F"/>
    <w:rsid w:val="00D63D8E"/>
    <w:rsid w:val="00D764C3"/>
    <w:rsid w:val="00D832EC"/>
    <w:rsid w:val="00D84EAD"/>
    <w:rsid w:val="00D85046"/>
    <w:rsid w:val="00D867CE"/>
    <w:rsid w:val="00D91E1D"/>
    <w:rsid w:val="00D95239"/>
    <w:rsid w:val="00D9731E"/>
    <w:rsid w:val="00DA19F7"/>
    <w:rsid w:val="00DB0271"/>
    <w:rsid w:val="00DB43B3"/>
    <w:rsid w:val="00DD1BFA"/>
    <w:rsid w:val="00DD46E0"/>
    <w:rsid w:val="00DD4C65"/>
    <w:rsid w:val="00DE0794"/>
    <w:rsid w:val="00DE1903"/>
    <w:rsid w:val="00DF0056"/>
    <w:rsid w:val="00DF0174"/>
    <w:rsid w:val="00DF3D0D"/>
    <w:rsid w:val="00DF47F6"/>
    <w:rsid w:val="00DF4967"/>
    <w:rsid w:val="00DF50C3"/>
    <w:rsid w:val="00E11B77"/>
    <w:rsid w:val="00E334AF"/>
    <w:rsid w:val="00E416C3"/>
    <w:rsid w:val="00E56CDE"/>
    <w:rsid w:val="00E63AA5"/>
    <w:rsid w:val="00E64099"/>
    <w:rsid w:val="00E65B83"/>
    <w:rsid w:val="00E709A4"/>
    <w:rsid w:val="00E71550"/>
    <w:rsid w:val="00E9098D"/>
    <w:rsid w:val="00E91C90"/>
    <w:rsid w:val="00E9211E"/>
    <w:rsid w:val="00E96508"/>
    <w:rsid w:val="00EA0AAE"/>
    <w:rsid w:val="00EA2510"/>
    <w:rsid w:val="00EA766E"/>
    <w:rsid w:val="00EB00CB"/>
    <w:rsid w:val="00EB026C"/>
    <w:rsid w:val="00EB250D"/>
    <w:rsid w:val="00EB79A6"/>
    <w:rsid w:val="00EC1BA6"/>
    <w:rsid w:val="00ED1B5B"/>
    <w:rsid w:val="00ED4A04"/>
    <w:rsid w:val="00EE6EB4"/>
    <w:rsid w:val="00EF0364"/>
    <w:rsid w:val="00EF0EE7"/>
    <w:rsid w:val="00EF7CC5"/>
    <w:rsid w:val="00F0064D"/>
    <w:rsid w:val="00F02E45"/>
    <w:rsid w:val="00F0402D"/>
    <w:rsid w:val="00F0534A"/>
    <w:rsid w:val="00F12879"/>
    <w:rsid w:val="00F12D50"/>
    <w:rsid w:val="00F16307"/>
    <w:rsid w:val="00F249B0"/>
    <w:rsid w:val="00F27482"/>
    <w:rsid w:val="00F300CD"/>
    <w:rsid w:val="00F40E32"/>
    <w:rsid w:val="00F41873"/>
    <w:rsid w:val="00F41D04"/>
    <w:rsid w:val="00F43E0E"/>
    <w:rsid w:val="00F45881"/>
    <w:rsid w:val="00F45ABE"/>
    <w:rsid w:val="00F549E2"/>
    <w:rsid w:val="00F55D5E"/>
    <w:rsid w:val="00F55F3B"/>
    <w:rsid w:val="00F57FAC"/>
    <w:rsid w:val="00F6162D"/>
    <w:rsid w:val="00F67F7E"/>
    <w:rsid w:val="00F701C2"/>
    <w:rsid w:val="00F805EA"/>
    <w:rsid w:val="00F81437"/>
    <w:rsid w:val="00F82966"/>
    <w:rsid w:val="00F852D9"/>
    <w:rsid w:val="00F97604"/>
    <w:rsid w:val="00FA0C6D"/>
    <w:rsid w:val="00FB1D92"/>
    <w:rsid w:val="00FB457B"/>
    <w:rsid w:val="00FB7C9B"/>
    <w:rsid w:val="00FD0737"/>
    <w:rsid w:val="00FE4A43"/>
    <w:rsid w:val="00FE6747"/>
    <w:rsid w:val="00FE796C"/>
    <w:rsid w:val="00FF2202"/>
    <w:rsid w:val="00FF2512"/>
    <w:rsid w:val="00FF3E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1FD7C626"/>
  <w15:chartTrackingRefBased/>
  <w15:docId w15:val="{480A62A1-A974-4DC5-8A69-9BAB84C6DA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4"/>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iPriority="0"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autoRedefine/>
    <w:qFormat/>
    <w:rsid w:val="00AC7E6C"/>
    <w:pPr>
      <w:keepNext/>
      <w:spacing w:before="240" w:after="60" w:line="240" w:lineRule="auto"/>
      <w:outlineLvl w:val="0"/>
    </w:pPr>
    <w:rPr>
      <w:rFonts w:eastAsia="Times New Roman" w:cs="Times New Roman"/>
      <w:b/>
      <w:bCs/>
      <w:color w:val="1F4E79" w:themeColor="accent1" w:themeShade="80"/>
      <w:kern w:val="32"/>
      <w:sz w:val="32"/>
      <w:szCs w:val="32"/>
      <w:lang w:eastAsia="en-GB"/>
    </w:rPr>
  </w:style>
  <w:style w:type="paragraph" w:styleId="Heading2">
    <w:name w:val="heading 2"/>
    <w:basedOn w:val="Normal"/>
    <w:next w:val="Normal"/>
    <w:link w:val="Heading2Char"/>
    <w:autoRedefine/>
    <w:uiPriority w:val="9"/>
    <w:unhideWhenUsed/>
    <w:qFormat/>
    <w:rsid w:val="00AC7E6C"/>
    <w:pPr>
      <w:keepNext/>
      <w:keepLines/>
      <w:spacing w:before="40" w:after="0"/>
      <w:outlineLvl w:val="1"/>
    </w:pPr>
    <w:rPr>
      <w:rFonts w:eastAsiaTheme="majorEastAsia" w:cstheme="majorBidi"/>
      <w:b/>
      <w:color w:val="1F4E79" w:themeColor="accent1" w:themeShade="80"/>
      <w:sz w:val="28"/>
      <w:szCs w:val="26"/>
    </w:rPr>
  </w:style>
  <w:style w:type="paragraph" w:styleId="Heading3">
    <w:name w:val="heading 3"/>
    <w:basedOn w:val="Normal"/>
    <w:next w:val="Normal"/>
    <w:link w:val="Heading3Char"/>
    <w:autoRedefine/>
    <w:uiPriority w:val="9"/>
    <w:unhideWhenUsed/>
    <w:qFormat/>
    <w:rsid w:val="00AC7E6C"/>
    <w:pPr>
      <w:keepNext/>
      <w:keepLines/>
      <w:spacing w:before="40" w:after="0"/>
      <w:outlineLvl w:val="2"/>
    </w:pPr>
    <w:rPr>
      <w:rFonts w:eastAsiaTheme="majorEastAsia" w:cstheme="majorBidi"/>
      <w:b/>
      <w:color w:val="1F4D78" w:themeColor="accent1" w:themeShade="7F"/>
      <w:szCs w:val="24"/>
    </w:rPr>
  </w:style>
  <w:style w:type="paragraph" w:styleId="Heading4">
    <w:name w:val="heading 4"/>
    <w:basedOn w:val="Normal"/>
    <w:next w:val="Normal"/>
    <w:link w:val="Heading4Char"/>
    <w:uiPriority w:val="9"/>
    <w:semiHidden/>
    <w:unhideWhenUsed/>
    <w:qFormat/>
    <w:rsid w:val="003F154C"/>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autoRedefine/>
    <w:qFormat/>
    <w:rsid w:val="009670B2"/>
    <w:pPr>
      <w:numPr>
        <w:numId w:val="5"/>
      </w:numPr>
      <w:autoSpaceDE w:val="0"/>
      <w:autoSpaceDN w:val="0"/>
      <w:adjustRightInd w:val="0"/>
      <w:spacing w:after="0" w:line="276" w:lineRule="auto"/>
      <w:ind w:left="0"/>
      <w:jc w:val="both"/>
    </w:pPr>
    <w:rPr>
      <w:rFonts w:eastAsia="Times New Roman" w:cs="Times New Roman"/>
      <w:szCs w:val="24"/>
      <w:lang w:eastAsia="en-GB"/>
    </w:rPr>
  </w:style>
  <w:style w:type="character" w:styleId="CommentReference">
    <w:name w:val="annotation reference"/>
    <w:basedOn w:val="DefaultParagraphFont"/>
    <w:rsid w:val="00EF0EE7"/>
    <w:rPr>
      <w:sz w:val="16"/>
      <w:szCs w:val="16"/>
    </w:rPr>
  </w:style>
  <w:style w:type="paragraph" w:styleId="CommentText">
    <w:name w:val="annotation text"/>
    <w:basedOn w:val="Normal"/>
    <w:link w:val="CommentTextChar"/>
    <w:rsid w:val="00EF0EE7"/>
    <w:pPr>
      <w:spacing w:after="0" w:line="240" w:lineRule="auto"/>
    </w:pPr>
    <w:rPr>
      <w:rFonts w:ascii="Times New Roman" w:eastAsia="Times New Roman" w:hAnsi="Times New Roman" w:cs="Times New Roman"/>
      <w:sz w:val="20"/>
      <w:szCs w:val="20"/>
      <w:lang w:eastAsia="en-GB"/>
    </w:rPr>
  </w:style>
  <w:style w:type="character" w:customStyle="1" w:styleId="CommentTextChar">
    <w:name w:val="Comment Text Char"/>
    <w:basedOn w:val="DefaultParagraphFont"/>
    <w:link w:val="CommentText"/>
    <w:rsid w:val="00EF0EE7"/>
    <w:rPr>
      <w:rFonts w:ascii="Times New Roman" w:eastAsia="Times New Roman" w:hAnsi="Times New Roman" w:cs="Times New Roman"/>
      <w:sz w:val="20"/>
      <w:szCs w:val="20"/>
      <w:lang w:eastAsia="en-GB"/>
    </w:rPr>
  </w:style>
  <w:style w:type="paragraph" w:styleId="BalloonText">
    <w:name w:val="Balloon Text"/>
    <w:basedOn w:val="Normal"/>
    <w:link w:val="BalloonTextChar"/>
    <w:uiPriority w:val="99"/>
    <w:semiHidden/>
    <w:unhideWhenUsed/>
    <w:rsid w:val="00EF0EE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F0EE7"/>
    <w:rPr>
      <w:rFonts w:ascii="Segoe UI" w:hAnsi="Segoe UI" w:cs="Segoe UI"/>
      <w:sz w:val="18"/>
      <w:szCs w:val="18"/>
    </w:rPr>
  </w:style>
  <w:style w:type="character" w:customStyle="1" w:styleId="Hyperlink1">
    <w:name w:val="Hyperlink1"/>
    <w:basedOn w:val="DefaultParagraphFont"/>
    <w:uiPriority w:val="99"/>
    <w:semiHidden/>
    <w:unhideWhenUsed/>
    <w:rsid w:val="00EF7CC5"/>
    <w:rPr>
      <w:color w:val="0000FF"/>
      <w:u w:val="single"/>
    </w:rPr>
  </w:style>
  <w:style w:type="character" w:styleId="Hyperlink">
    <w:name w:val="Hyperlink"/>
    <w:basedOn w:val="DefaultParagraphFont"/>
    <w:uiPriority w:val="99"/>
    <w:unhideWhenUsed/>
    <w:rsid w:val="00EF7CC5"/>
    <w:rPr>
      <w:color w:val="0563C1" w:themeColor="hyperlink"/>
      <w:u w:val="single"/>
    </w:rPr>
  </w:style>
  <w:style w:type="paragraph" w:styleId="CommentSubject">
    <w:name w:val="annotation subject"/>
    <w:basedOn w:val="CommentText"/>
    <w:next w:val="CommentText"/>
    <w:link w:val="CommentSubjectChar"/>
    <w:uiPriority w:val="99"/>
    <w:semiHidden/>
    <w:unhideWhenUsed/>
    <w:rsid w:val="00F0402D"/>
    <w:pPr>
      <w:spacing w:after="160"/>
    </w:pPr>
    <w:rPr>
      <w:rFonts w:ascii="Arial" w:eastAsiaTheme="minorHAnsi" w:hAnsi="Arial" w:cstheme="minorBidi"/>
      <w:b/>
      <w:bCs/>
      <w:lang w:eastAsia="en-US"/>
    </w:rPr>
  </w:style>
  <w:style w:type="character" w:customStyle="1" w:styleId="CommentSubjectChar">
    <w:name w:val="Comment Subject Char"/>
    <w:basedOn w:val="CommentTextChar"/>
    <w:link w:val="CommentSubject"/>
    <w:uiPriority w:val="99"/>
    <w:semiHidden/>
    <w:rsid w:val="00F0402D"/>
    <w:rPr>
      <w:rFonts w:ascii="Times New Roman" w:eastAsia="Times New Roman" w:hAnsi="Times New Roman" w:cs="Times New Roman"/>
      <w:b/>
      <w:bCs/>
      <w:sz w:val="20"/>
      <w:szCs w:val="20"/>
      <w:lang w:eastAsia="en-GB"/>
    </w:rPr>
  </w:style>
  <w:style w:type="character" w:customStyle="1" w:styleId="Heading1Char">
    <w:name w:val="Heading 1 Char"/>
    <w:basedOn w:val="DefaultParagraphFont"/>
    <w:link w:val="Heading1"/>
    <w:rsid w:val="00AC7E6C"/>
    <w:rPr>
      <w:rFonts w:eastAsia="Times New Roman" w:cs="Times New Roman"/>
      <w:b/>
      <w:bCs/>
      <w:color w:val="1F4E79" w:themeColor="accent1" w:themeShade="80"/>
      <w:kern w:val="32"/>
      <w:sz w:val="32"/>
      <w:szCs w:val="32"/>
      <w:lang w:eastAsia="en-GB"/>
    </w:rPr>
  </w:style>
  <w:style w:type="paragraph" w:styleId="NormalWeb">
    <w:name w:val="Normal (Web)"/>
    <w:basedOn w:val="Normal"/>
    <w:uiPriority w:val="99"/>
    <w:rsid w:val="002D365F"/>
    <w:pPr>
      <w:spacing w:before="100" w:beforeAutospacing="1" w:after="100" w:afterAutospacing="1" w:line="240" w:lineRule="auto"/>
    </w:pPr>
    <w:rPr>
      <w:rFonts w:ascii="Times New Roman" w:eastAsia="Calibri" w:hAnsi="Times New Roman" w:cs="Times New Roman"/>
      <w:szCs w:val="24"/>
      <w:lang w:eastAsia="en-GB"/>
    </w:rPr>
  </w:style>
  <w:style w:type="paragraph" w:styleId="HTMLAddress">
    <w:name w:val="HTML Address"/>
    <w:basedOn w:val="Normal"/>
    <w:link w:val="HTMLAddressChar"/>
    <w:rsid w:val="002D365F"/>
    <w:pPr>
      <w:spacing w:after="0" w:line="240" w:lineRule="auto"/>
    </w:pPr>
    <w:rPr>
      <w:rFonts w:ascii="Times New Roman" w:eastAsia="Times New Roman" w:hAnsi="Times New Roman" w:cs="Times New Roman"/>
      <w:i/>
      <w:iCs/>
      <w:szCs w:val="24"/>
      <w:lang w:eastAsia="en-GB"/>
    </w:rPr>
  </w:style>
  <w:style w:type="character" w:customStyle="1" w:styleId="HTMLAddressChar">
    <w:name w:val="HTML Address Char"/>
    <w:basedOn w:val="DefaultParagraphFont"/>
    <w:link w:val="HTMLAddress"/>
    <w:rsid w:val="002D365F"/>
    <w:rPr>
      <w:rFonts w:ascii="Times New Roman" w:eastAsia="Times New Roman" w:hAnsi="Times New Roman" w:cs="Times New Roman"/>
      <w:i/>
      <w:iCs/>
      <w:szCs w:val="24"/>
      <w:lang w:eastAsia="en-GB"/>
    </w:rPr>
  </w:style>
  <w:style w:type="paragraph" w:customStyle="1" w:styleId="Default">
    <w:name w:val="Default"/>
    <w:rsid w:val="00675A55"/>
    <w:pPr>
      <w:autoSpaceDE w:val="0"/>
      <w:autoSpaceDN w:val="0"/>
      <w:adjustRightInd w:val="0"/>
      <w:spacing w:after="0" w:line="240" w:lineRule="auto"/>
    </w:pPr>
    <w:rPr>
      <w:rFonts w:ascii="Calibri" w:eastAsia="Times New Roman" w:hAnsi="Calibri" w:cs="Calibri"/>
      <w:color w:val="000000"/>
      <w:szCs w:val="24"/>
      <w:lang w:eastAsia="en-GB"/>
    </w:rPr>
  </w:style>
  <w:style w:type="character" w:customStyle="1" w:styleId="Heading3Char">
    <w:name w:val="Heading 3 Char"/>
    <w:basedOn w:val="DefaultParagraphFont"/>
    <w:link w:val="Heading3"/>
    <w:uiPriority w:val="9"/>
    <w:rsid w:val="00AC7E6C"/>
    <w:rPr>
      <w:rFonts w:eastAsiaTheme="majorEastAsia" w:cstheme="majorBidi"/>
      <w:b/>
      <w:color w:val="1F4D78" w:themeColor="accent1" w:themeShade="7F"/>
      <w:szCs w:val="24"/>
    </w:rPr>
  </w:style>
  <w:style w:type="character" w:styleId="FollowedHyperlink">
    <w:name w:val="FollowedHyperlink"/>
    <w:basedOn w:val="DefaultParagraphFont"/>
    <w:uiPriority w:val="99"/>
    <w:semiHidden/>
    <w:unhideWhenUsed/>
    <w:rsid w:val="007B1216"/>
    <w:rPr>
      <w:color w:val="954F72" w:themeColor="followedHyperlink"/>
      <w:u w:val="single"/>
    </w:rPr>
  </w:style>
  <w:style w:type="character" w:styleId="FootnoteReference">
    <w:name w:val="footnote reference"/>
    <w:unhideWhenUsed/>
    <w:rsid w:val="000A5C3E"/>
    <w:rPr>
      <w:w w:val="100"/>
      <w:position w:val="-1"/>
      <w:effect w:val="none"/>
      <w:vertAlign w:val="superscript"/>
      <w:em w:val="none"/>
    </w:rPr>
  </w:style>
  <w:style w:type="paragraph" w:styleId="FootnoteText">
    <w:name w:val="footnote text"/>
    <w:basedOn w:val="Normal"/>
    <w:link w:val="FootnoteTextChar"/>
    <w:uiPriority w:val="99"/>
    <w:semiHidden/>
    <w:unhideWhenUsed/>
    <w:rsid w:val="001927E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927E7"/>
    <w:rPr>
      <w:sz w:val="20"/>
      <w:szCs w:val="20"/>
    </w:rPr>
  </w:style>
  <w:style w:type="paragraph" w:customStyle="1" w:styleId="Heading10">
    <w:name w:val="Heading1"/>
    <w:basedOn w:val="Normal"/>
    <w:link w:val="Heading1Char0"/>
    <w:rsid w:val="00196525"/>
    <w:pPr>
      <w:autoSpaceDE w:val="0"/>
      <w:autoSpaceDN w:val="0"/>
      <w:adjustRightInd w:val="0"/>
      <w:spacing w:line="276" w:lineRule="auto"/>
      <w:jc w:val="both"/>
    </w:pPr>
    <w:rPr>
      <w:b/>
      <w:color w:val="1F4E79" w:themeColor="accent1" w:themeShade="80"/>
      <w:sz w:val="32"/>
    </w:rPr>
  </w:style>
  <w:style w:type="paragraph" w:customStyle="1" w:styleId="Heading20">
    <w:name w:val="Heading2"/>
    <w:basedOn w:val="Normal"/>
    <w:link w:val="Heading2Char0"/>
    <w:autoRedefine/>
    <w:rsid w:val="00196525"/>
    <w:pPr>
      <w:autoSpaceDE w:val="0"/>
      <w:autoSpaceDN w:val="0"/>
      <w:adjustRightInd w:val="0"/>
      <w:spacing w:line="276" w:lineRule="auto"/>
      <w:jc w:val="both"/>
    </w:pPr>
    <w:rPr>
      <w:b/>
      <w:color w:val="1F4E79" w:themeColor="accent1" w:themeShade="80"/>
      <w:sz w:val="28"/>
    </w:rPr>
  </w:style>
  <w:style w:type="character" w:customStyle="1" w:styleId="Heading1Char0">
    <w:name w:val="Heading1 Char"/>
    <w:basedOn w:val="DefaultParagraphFont"/>
    <w:link w:val="Heading10"/>
    <w:rsid w:val="00196525"/>
    <w:rPr>
      <w:b/>
      <w:color w:val="1F4E79" w:themeColor="accent1" w:themeShade="80"/>
      <w:sz w:val="32"/>
    </w:rPr>
  </w:style>
  <w:style w:type="paragraph" w:customStyle="1" w:styleId="MainBody">
    <w:name w:val="MainBody"/>
    <w:basedOn w:val="Normal"/>
    <w:link w:val="MainBodyChar"/>
    <w:qFormat/>
    <w:rsid w:val="00196525"/>
    <w:pPr>
      <w:autoSpaceDE w:val="0"/>
      <w:autoSpaceDN w:val="0"/>
      <w:adjustRightInd w:val="0"/>
      <w:spacing w:line="276" w:lineRule="auto"/>
      <w:jc w:val="both"/>
    </w:pPr>
  </w:style>
  <w:style w:type="character" w:customStyle="1" w:styleId="Heading2Char0">
    <w:name w:val="Heading2 Char"/>
    <w:basedOn w:val="DefaultParagraphFont"/>
    <w:link w:val="Heading20"/>
    <w:rsid w:val="00196525"/>
    <w:rPr>
      <w:b/>
      <w:color w:val="1F4E79" w:themeColor="accent1" w:themeShade="80"/>
      <w:sz w:val="28"/>
    </w:rPr>
  </w:style>
  <w:style w:type="paragraph" w:customStyle="1" w:styleId="Heading30">
    <w:name w:val="Heading3"/>
    <w:basedOn w:val="MainBody"/>
    <w:link w:val="Heading3Char0"/>
    <w:autoRedefine/>
    <w:qFormat/>
    <w:rsid w:val="0088544F"/>
    <w:rPr>
      <w:b/>
    </w:rPr>
  </w:style>
  <w:style w:type="character" w:customStyle="1" w:styleId="MainBodyChar">
    <w:name w:val="MainBody Char"/>
    <w:basedOn w:val="DefaultParagraphFont"/>
    <w:link w:val="MainBody"/>
    <w:rsid w:val="00196525"/>
  </w:style>
  <w:style w:type="paragraph" w:customStyle="1" w:styleId="MainBodyItalic">
    <w:name w:val="MainBodyItalic"/>
    <w:basedOn w:val="MainBody"/>
    <w:link w:val="MainBodyItalicChar"/>
    <w:autoRedefine/>
    <w:qFormat/>
    <w:rsid w:val="00A250A4"/>
    <w:pPr>
      <w:numPr>
        <w:numId w:val="35"/>
      </w:numPr>
      <w:ind w:left="0"/>
    </w:pPr>
  </w:style>
  <w:style w:type="character" w:customStyle="1" w:styleId="Heading3Char0">
    <w:name w:val="Heading3 Char"/>
    <w:basedOn w:val="MainBodyChar"/>
    <w:link w:val="Heading30"/>
    <w:rsid w:val="0088544F"/>
    <w:rPr>
      <w:b/>
    </w:rPr>
  </w:style>
  <w:style w:type="character" w:customStyle="1" w:styleId="Heading4Char">
    <w:name w:val="Heading 4 Char"/>
    <w:basedOn w:val="DefaultParagraphFont"/>
    <w:link w:val="Heading4"/>
    <w:uiPriority w:val="9"/>
    <w:semiHidden/>
    <w:rsid w:val="003F154C"/>
    <w:rPr>
      <w:rFonts w:asciiTheme="majorHAnsi" w:eastAsiaTheme="majorEastAsia" w:hAnsiTheme="majorHAnsi" w:cstheme="majorBidi"/>
      <w:i/>
      <w:iCs/>
      <w:color w:val="2E74B5" w:themeColor="accent1" w:themeShade="BF"/>
    </w:rPr>
  </w:style>
  <w:style w:type="character" w:customStyle="1" w:styleId="MainBodyItalicChar">
    <w:name w:val="MainBodyItalic Char"/>
    <w:basedOn w:val="MainBodyChar"/>
    <w:link w:val="MainBodyItalic"/>
    <w:rsid w:val="00A250A4"/>
  </w:style>
  <w:style w:type="character" w:customStyle="1" w:styleId="Heading2Char">
    <w:name w:val="Heading 2 Char"/>
    <w:basedOn w:val="DefaultParagraphFont"/>
    <w:link w:val="Heading2"/>
    <w:uiPriority w:val="9"/>
    <w:rsid w:val="00AC7E6C"/>
    <w:rPr>
      <w:rFonts w:eastAsiaTheme="majorEastAsia" w:cstheme="majorBidi"/>
      <w:b/>
      <w:color w:val="1F4E79" w:themeColor="accent1" w:themeShade="80"/>
      <w:sz w:val="28"/>
      <w:szCs w:val="26"/>
    </w:rPr>
  </w:style>
  <w:style w:type="paragraph" w:styleId="Title">
    <w:name w:val="Title"/>
    <w:basedOn w:val="Normal"/>
    <w:next w:val="Normal"/>
    <w:link w:val="TitleChar"/>
    <w:autoRedefine/>
    <w:uiPriority w:val="10"/>
    <w:qFormat/>
    <w:rsid w:val="00FD0737"/>
    <w:pPr>
      <w:spacing w:after="0" w:line="240" w:lineRule="auto"/>
      <w:contextualSpacing/>
      <w:jc w:val="center"/>
    </w:pPr>
    <w:rPr>
      <w:rFonts w:eastAsiaTheme="majorEastAsia" w:cstheme="majorBidi"/>
      <w:b/>
      <w:color w:val="DEEAF6" w:themeColor="accent1" w:themeTint="33"/>
      <w:spacing w:val="-10"/>
      <w:kern w:val="28"/>
      <w:sz w:val="160"/>
      <w:szCs w:val="132"/>
    </w:rPr>
  </w:style>
  <w:style w:type="character" w:customStyle="1" w:styleId="TitleChar">
    <w:name w:val="Title Char"/>
    <w:basedOn w:val="DefaultParagraphFont"/>
    <w:link w:val="Title"/>
    <w:uiPriority w:val="10"/>
    <w:rsid w:val="00FD0737"/>
    <w:rPr>
      <w:rFonts w:eastAsiaTheme="majorEastAsia" w:cstheme="majorBidi"/>
      <w:b/>
      <w:color w:val="DEEAF6" w:themeColor="accent1" w:themeTint="33"/>
      <w:spacing w:val="-10"/>
      <w:kern w:val="28"/>
      <w:sz w:val="160"/>
      <w:szCs w:val="132"/>
    </w:rPr>
  </w:style>
  <w:style w:type="paragraph" w:customStyle="1" w:styleId="LegHeading1">
    <w:name w:val="LegHeading1"/>
    <w:basedOn w:val="MainBodyItalic"/>
    <w:link w:val="LegHeading1Char"/>
    <w:autoRedefine/>
    <w:qFormat/>
    <w:rsid w:val="00C57D99"/>
    <w:pPr>
      <w:numPr>
        <w:numId w:val="0"/>
      </w:numPr>
      <w:outlineLvl w:val="2"/>
    </w:pPr>
    <w:rPr>
      <w:i/>
    </w:rPr>
  </w:style>
  <w:style w:type="paragraph" w:styleId="Revision">
    <w:name w:val="Revision"/>
    <w:hidden/>
    <w:uiPriority w:val="99"/>
    <w:semiHidden/>
    <w:rsid w:val="00C231C4"/>
    <w:pPr>
      <w:spacing w:after="0" w:line="240" w:lineRule="auto"/>
    </w:pPr>
  </w:style>
  <w:style w:type="character" w:customStyle="1" w:styleId="LegHeading1Char">
    <w:name w:val="LegHeading1 Char"/>
    <w:basedOn w:val="MainBodyItalicChar"/>
    <w:link w:val="LegHeading1"/>
    <w:rsid w:val="00C57D99"/>
    <w:rPr>
      <w:i/>
    </w:rPr>
  </w:style>
  <w:style w:type="paragraph" w:styleId="Header">
    <w:name w:val="header"/>
    <w:basedOn w:val="Normal"/>
    <w:link w:val="HeaderChar"/>
    <w:uiPriority w:val="99"/>
    <w:unhideWhenUsed/>
    <w:rsid w:val="00957F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957F82"/>
  </w:style>
  <w:style w:type="paragraph" w:styleId="Footer">
    <w:name w:val="footer"/>
    <w:basedOn w:val="Normal"/>
    <w:link w:val="FooterChar"/>
    <w:uiPriority w:val="99"/>
    <w:unhideWhenUsed/>
    <w:rsid w:val="00957F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957F82"/>
  </w:style>
  <w:style w:type="paragraph" w:styleId="TOCHeading">
    <w:name w:val="TOC Heading"/>
    <w:basedOn w:val="Heading1"/>
    <w:next w:val="Normal"/>
    <w:uiPriority w:val="39"/>
    <w:unhideWhenUsed/>
    <w:qFormat/>
    <w:rsid w:val="00AC6E7C"/>
    <w:pPr>
      <w:keepLines/>
      <w:spacing w:after="0" w:line="259" w:lineRule="auto"/>
      <w:outlineLvl w:val="9"/>
    </w:pPr>
    <w:rPr>
      <w:rFonts w:asciiTheme="majorHAnsi" w:eastAsiaTheme="majorEastAsia" w:hAnsiTheme="majorHAnsi" w:cstheme="majorBidi"/>
      <w:b w:val="0"/>
      <w:bCs w:val="0"/>
      <w:color w:val="2E74B5" w:themeColor="accent1" w:themeShade="BF"/>
      <w:kern w:val="0"/>
      <w:lang w:val="en-US" w:eastAsia="en-US"/>
    </w:rPr>
  </w:style>
  <w:style w:type="paragraph" w:styleId="TOC1">
    <w:name w:val="toc 1"/>
    <w:basedOn w:val="Normal"/>
    <w:next w:val="Normal"/>
    <w:autoRedefine/>
    <w:uiPriority w:val="39"/>
    <w:unhideWhenUsed/>
    <w:rsid w:val="00AC6E7C"/>
    <w:pPr>
      <w:spacing w:after="100"/>
    </w:pPr>
  </w:style>
  <w:style w:type="paragraph" w:styleId="TOC2">
    <w:name w:val="toc 2"/>
    <w:basedOn w:val="Normal"/>
    <w:next w:val="Normal"/>
    <w:autoRedefine/>
    <w:uiPriority w:val="39"/>
    <w:unhideWhenUsed/>
    <w:rsid w:val="00AC6E7C"/>
    <w:pPr>
      <w:spacing w:after="100"/>
      <w:ind w:left="240"/>
    </w:pPr>
  </w:style>
  <w:style w:type="paragraph" w:styleId="TOC3">
    <w:name w:val="toc 3"/>
    <w:basedOn w:val="Normal"/>
    <w:next w:val="Normal"/>
    <w:autoRedefine/>
    <w:uiPriority w:val="39"/>
    <w:unhideWhenUsed/>
    <w:rsid w:val="00AC6E7C"/>
    <w:pPr>
      <w:spacing w:after="100"/>
      <w:ind w:left="480"/>
    </w:pPr>
  </w:style>
  <w:style w:type="character" w:styleId="BookTitle">
    <w:name w:val="Book Title"/>
    <w:basedOn w:val="DefaultParagraphFont"/>
    <w:uiPriority w:val="33"/>
    <w:qFormat/>
    <w:rsid w:val="00623C49"/>
    <w:rPr>
      <w:rFonts w:ascii="Calibri" w:hAnsi="Calibri"/>
      <w:b w:val="0"/>
      <w:bCs/>
      <w:i w:val="0"/>
      <w:iCs/>
      <w:spacing w:val="5"/>
      <w:sz w:val="14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6153627">
      <w:bodyDiv w:val="1"/>
      <w:marLeft w:val="0"/>
      <w:marRight w:val="0"/>
      <w:marTop w:val="0"/>
      <w:marBottom w:val="0"/>
      <w:divBdr>
        <w:top w:val="none" w:sz="0" w:space="0" w:color="auto"/>
        <w:left w:val="none" w:sz="0" w:space="0" w:color="auto"/>
        <w:bottom w:val="none" w:sz="0" w:space="0" w:color="auto"/>
        <w:right w:val="none" w:sz="0" w:space="0" w:color="auto"/>
      </w:divBdr>
    </w:div>
    <w:div w:id="292370694">
      <w:bodyDiv w:val="1"/>
      <w:marLeft w:val="0"/>
      <w:marRight w:val="0"/>
      <w:marTop w:val="0"/>
      <w:marBottom w:val="0"/>
      <w:divBdr>
        <w:top w:val="none" w:sz="0" w:space="0" w:color="auto"/>
        <w:left w:val="none" w:sz="0" w:space="0" w:color="auto"/>
        <w:bottom w:val="none" w:sz="0" w:space="0" w:color="auto"/>
        <w:right w:val="none" w:sz="0" w:space="0" w:color="auto"/>
      </w:divBdr>
      <w:divsChild>
        <w:div w:id="1076787532">
          <w:marLeft w:val="0"/>
          <w:marRight w:val="0"/>
          <w:marTop w:val="0"/>
          <w:marBottom w:val="0"/>
          <w:divBdr>
            <w:top w:val="none" w:sz="0" w:space="0" w:color="auto"/>
            <w:left w:val="none" w:sz="0" w:space="0" w:color="auto"/>
            <w:bottom w:val="none" w:sz="0" w:space="0" w:color="auto"/>
            <w:right w:val="none" w:sz="0" w:space="0" w:color="auto"/>
          </w:divBdr>
        </w:div>
      </w:divsChild>
    </w:div>
    <w:div w:id="548615721">
      <w:bodyDiv w:val="1"/>
      <w:marLeft w:val="0"/>
      <w:marRight w:val="0"/>
      <w:marTop w:val="0"/>
      <w:marBottom w:val="0"/>
      <w:divBdr>
        <w:top w:val="none" w:sz="0" w:space="0" w:color="auto"/>
        <w:left w:val="none" w:sz="0" w:space="0" w:color="auto"/>
        <w:bottom w:val="none" w:sz="0" w:space="0" w:color="auto"/>
        <w:right w:val="none" w:sz="0" w:space="0" w:color="auto"/>
      </w:divBdr>
      <w:divsChild>
        <w:div w:id="1625228996">
          <w:marLeft w:val="0"/>
          <w:marRight w:val="0"/>
          <w:marTop w:val="0"/>
          <w:marBottom w:val="0"/>
          <w:divBdr>
            <w:top w:val="none" w:sz="0" w:space="0" w:color="auto"/>
            <w:left w:val="none" w:sz="0" w:space="0" w:color="auto"/>
            <w:bottom w:val="none" w:sz="0" w:space="0" w:color="auto"/>
            <w:right w:val="none" w:sz="0" w:space="0" w:color="auto"/>
          </w:divBdr>
        </w:div>
      </w:divsChild>
    </w:div>
    <w:div w:id="790628886">
      <w:bodyDiv w:val="1"/>
      <w:marLeft w:val="0"/>
      <w:marRight w:val="0"/>
      <w:marTop w:val="0"/>
      <w:marBottom w:val="0"/>
      <w:divBdr>
        <w:top w:val="none" w:sz="0" w:space="0" w:color="auto"/>
        <w:left w:val="none" w:sz="0" w:space="0" w:color="auto"/>
        <w:bottom w:val="none" w:sz="0" w:space="0" w:color="auto"/>
        <w:right w:val="none" w:sz="0" w:space="0" w:color="auto"/>
      </w:divBdr>
    </w:div>
    <w:div w:id="820511132">
      <w:bodyDiv w:val="1"/>
      <w:marLeft w:val="0"/>
      <w:marRight w:val="0"/>
      <w:marTop w:val="0"/>
      <w:marBottom w:val="0"/>
      <w:divBdr>
        <w:top w:val="none" w:sz="0" w:space="0" w:color="auto"/>
        <w:left w:val="none" w:sz="0" w:space="0" w:color="auto"/>
        <w:bottom w:val="none" w:sz="0" w:space="0" w:color="auto"/>
        <w:right w:val="none" w:sz="0" w:space="0" w:color="auto"/>
      </w:divBdr>
      <w:divsChild>
        <w:div w:id="1184513453">
          <w:marLeft w:val="0"/>
          <w:marRight w:val="0"/>
          <w:marTop w:val="0"/>
          <w:marBottom w:val="0"/>
          <w:divBdr>
            <w:top w:val="none" w:sz="0" w:space="0" w:color="auto"/>
            <w:left w:val="none" w:sz="0" w:space="0" w:color="auto"/>
            <w:bottom w:val="none" w:sz="0" w:space="0" w:color="auto"/>
            <w:right w:val="none" w:sz="0" w:space="0" w:color="auto"/>
          </w:divBdr>
        </w:div>
      </w:divsChild>
    </w:div>
    <w:div w:id="906307063">
      <w:bodyDiv w:val="1"/>
      <w:marLeft w:val="0"/>
      <w:marRight w:val="0"/>
      <w:marTop w:val="0"/>
      <w:marBottom w:val="0"/>
      <w:divBdr>
        <w:top w:val="none" w:sz="0" w:space="0" w:color="auto"/>
        <w:left w:val="none" w:sz="0" w:space="0" w:color="auto"/>
        <w:bottom w:val="none" w:sz="0" w:space="0" w:color="auto"/>
        <w:right w:val="none" w:sz="0" w:space="0" w:color="auto"/>
      </w:divBdr>
      <w:divsChild>
        <w:div w:id="949361547">
          <w:marLeft w:val="0"/>
          <w:marRight w:val="0"/>
          <w:marTop w:val="0"/>
          <w:marBottom w:val="0"/>
          <w:divBdr>
            <w:top w:val="none" w:sz="0" w:space="0" w:color="auto"/>
            <w:left w:val="none" w:sz="0" w:space="0" w:color="auto"/>
            <w:bottom w:val="none" w:sz="0" w:space="0" w:color="auto"/>
            <w:right w:val="none" w:sz="0" w:space="0" w:color="auto"/>
          </w:divBdr>
          <w:divsChild>
            <w:div w:id="59013914">
              <w:marLeft w:val="0"/>
              <w:marRight w:val="0"/>
              <w:marTop w:val="0"/>
              <w:marBottom w:val="0"/>
              <w:divBdr>
                <w:top w:val="none" w:sz="0" w:space="0" w:color="auto"/>
                <w:left w:val="none" w:sz="0" w:space="0" w:color="auto"/>
                <w:bottom w:val="none" w:sz="0" w:space="0" w:color="auto"/>
                <w:right w:val="none" w:sz="0" w:space="0" w:color="auto"/>
              </w:divBdr>
              <w:divsChild>
                <w:div w:id="1900313278">
                  <w:marLeft w:val="0"/>
                  <w:marRight w:val="0"/>
                  <w:marTop w:val="0"/>
                  <w:marBottom w:val="0"/>
                  <w:divBdr>
                    <w:top w:val="none" w:sz="0" w:space="0" w:color="auto"/>
                    <w:left w:val="none" w:sz="0" w:space="0" w:color="auto"/>
                    <w:bottom w:val="none" w:sz="0" w:space="0" w:color="auto"/>
                    <w:right w:val="none" w:sz="0" w:space="0" w:color="auto"/>
                  </w:divBdr>
                  <w:divsChild>
                    <w:div w:id="1990792193">
                      <w:marLeft w:val="0"/>
                      <w:marRight w:val="0"/>
                      <w:marTop w:val="0"/>
                      <w:marBottom w:val="0"/>
                      <w:divBdr>
                        <w:top w:val="none" w:sz="0" w:space="0" w:color="auto"/>
                        <w:left w:val="none" w:sz="0" w:space="0" w:color="auto"/>
                        <w:bottom w:val="none" w:sz="0" w:space="0" w:color="auto"/>
                        <w:right w:val="none" w:sz="0" w:space="0" w:color="auto"/>
                      </w:divBdr>
                      <w:divsChild>
                        <w:div w:id="24793520">
                          <w:marLeft w:val="0"/>
                          <w:marRight w:val="0"/>
                          <w:marTop w:val="0"/>
                          <w:marBottom w:val="0"/>
                          <w:divBdr>
                            <w:top w:val="none" w:sz="0" w:space="0" w:color="auto"/>
                            <w:left w:val="none" w:sz="0" w:space="0" w:color="auto"/>
                            <w:bottom w:val="none" w:sz="0" w:space="0" w:color="auto"/>
                            <w:right w:val="none" w:sz="0" w:space="0" w:color="auto"/>
                          </w:divBdr>
                          <w:divsChild>
                            <w:div w:id="214390790">
                              <w:marLeft w:val="0"/>
                              <w:marRight w:val="0"/>
                              <w:marTop w:val="0"/>
                              <w:marBottom w:val="0"/>
                              <w:divBdr>
                                <w:top w:val="none" w:sz="0" w:space="0" w:color="auto"/>
                                <w:left w:val="none" w:sz="0" w:space="0" w:color="auto"/>
                                <w:bottom w:val="none" w:sz="0" w:space="0" w:color="auto"/>
                                <w:right w:val="none" w:sz="0" w:space="0" w:color="auto"/>
                              </w:divBdr>
                              <w:divsChild>
                                <w:div w:id="194421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55722986">
      <w:bodyDiv w:val="1"/>
      <w:marLeft w:val="0"/>
      <w:marRight w:val="0"/>
      <w:marTop w:val="0"/>
      <w:marBottom w:val="0"/>
      <w:divBdr>
        <w:top w:val="none" w:sz="0" w:space="0" w:color="auto"/>
        <w:left w:val="none" w:sz="0" w:space="0" w:color="auto"/>
        <w:bottom w:val="none" w:sz="0" w:space="0" w:color="auto"/>
        <w:right w:val="none" w:sz="0" w:space="0" w:color="auto"/>
      </w:divBdr>
    </w:div>
    <w:div w:id="1148204444">
      <w:bodyDiv w:val="1"/>
      <w:marLeft w:val="0"/>
      <w:marRight w:val="0"/>
      <w:marTop w:val="0"/>
      <w:marBottom w:val="0"/>
      <w:divBdr>
        <w:top w:val="none" w:sz="0" w:space="0" w:color="auto"/>
        <w:left w:val="none" w:sz="0" w:space="0" w:color="auto"/>
        <w:bottom w:val="none" w:sz="0" w:space="0" w:color="auto"/>
        <w:right w:val="none" w:sz="0" w:space="0" w:color="auto"/>
      </w:divBdr>
    </w:div>
    <w:div w:id="1217351610">
      <w:bodyDiv w:val="1"/>
      <w:marLeft w:val="0"/>
      <w:marRight w:val="0"/>
      <w:marTop w:val="0"/>
      <w:marBottom w:val="0"/>
      <w:divBdr>
        <w:top w:val="none" w:sz="0" w:space="0" w:color="auto"/>
        <w:left w:val="none" w:sz="0" w:space="0" w:color="auto"/>
        <w:bottom w:val="none" w:sz="0" w:space="0" w:color="auto"/>
        <w:right w:val="none" w:sz="0" w:space="0" w:color="auto"/>
      </w:divBdr>
      <w:divsChild>
        <w:div w:id="1070999973">
          <w:marLeft w:val="1122"/>
          <w:marRight w:val="0"/>
          <w:marTop w:val="0"/>
          <w:marBottom w:val="0"/>
          <w:divBdr>
            <w:top w:val="none" w:sz="0" w:space="0" w:color="auto"/>
            <w:left w:val="none" w:sz="0" w:space="0" w:color="auto"/>
            <w:bottom w:val="none" w:sz="0" w:space="0" w:color="auto"/>
            <w:right w:val="none" w:sz="0" w:space="0" w:color="auto"/>
          </w:divBdr>
        </w:div>
        <w:div w:id="753167038">
          <w:marLeft w:val="1122"/>
          <w:marRight w:val="0"/>
          <w:marTop w:val="0"/>
          <w:marBottom w:val="0"/>
          <w:divBdr>
            <w:top w:val="none" w:sz="0" w:space="0" w:color="auto"/>
            <w:left w:val="none" w:sz="0" w:space="0" w:color="auto"/>
            <w:bottom w:val="none" w:sz="0" w:space="0" w:color="auto"/>
            <w:right w:val="none" w:sz="0" w:space="0" w:color="auto"/>
          </w:divBdr>
        </w:div>
        <w:div w:id="298071899">
          <w:marLeft w:val="1122"/>
          <w:marRight w:val="0"/>
          <w:marTop w:val="0"/>
          <w:marBottom w:val="0"/>
          <w:divBdr>
            <w:top w:val="none" w:sz="0" w:space="0" w:color="auto"/>
            <w:left w:val="none" w:sz="0" w:space="0" w:color="auto"/>
            <w:bottom w:val="none" w:sz="0" w:space="0" w:color="auto"/>
            <w:right w:val="none" w:sz="0" w:space="0" w:color="auto"/>
          </w:divBdr>
        </w:div>
        <w:div w:id="659697881">
          <w:marLeft w:val="1122"/>
          <w:marRight w:val="0"/>
          <w:marTop w:val="0"/>
          <w:marBottom w:val="0"/>
          <w:divBdr>
            <w:top w:val="none" w:sz="0" w:space="0" w:color="auto"/>
            <w:left w:val="none" w:sz="0" w:space="0" w:color="auto"/>
            <w:bottom w:val="none" w:sz="0" w:space="0" w:color="auto"/>
            <w:right w:val="none" w:sz="0" w:space="0" w:color="auto"/>
          </w:divBdr>
        </w:div>
        <w:div w:id="859005420">
          <w:marLeft w:val="1122"/>
          <w:marRight w:val="0"/>
          <w:marTop w:val="0"/>
          <w:marBottom w:val="0"/>
          <w:divBdr>
            <w:top w:val="none" w:sz="0" w:space="0" w:color="auto"/>
            <w:left w:val="none" w:sz="0" w:space="0" w:color="auto"/>
            <w:bottom w:val="none" w:sz="0" w:space="0" w:color="auto"/>
            <w:right w:val="none" w:sz="0" w:space="0" w:color="auto"/>
          </w:divBdr>
        </w:div>
      </w:divsChild>
    </w:div>
    <w:div w:id="1805928130">
      <w:bodyDiv w:val="1"/>
      <w:marLeft w:val="0"/>
      <w:marRight w:val="0"/>
      <w:marTop w:val="0"/>
      <w:marBottom w:val="0"/>
      <w:divBdr>
        <w:top w:val="none" w:sz="0" w:space="0" w:color="auto"/>
        <w:left w:val="none" w:sz="0" w:space="0" w:color="auto"/>
        <w:bottom w:val="none" w:sz="0" w:space="0" w:color="auto"/>
        <w:right w:val="none" w:sz="0" w:space="0" w:color="auto"/>
      </w:divBdr>
    </w:div>
    <w:div w:id="1974409340">
      <w:bodyDiv w:val="1"/>
      <w:marLeft w:val="0"/>
      <w:marRight w:val="0"/>
      <w:marTop w:val="0"/>
      <w:marBottom w:val="0"/>
      <w:divBdr>
        <w:top w:val="none" w:sz="0" w:space="0" w:color="auto"/>
        <w:left w:val="none" w:sz="0" w:space="0" w:color="auto"/>
        <w:bottom w:val="none" w:sz="0" w:space="0" w:color="auto"/>
        <w:right w:val="none" w:sz="0" w:space="0" w:color="auto"/>
      </w:divBdr>
      <w:divsChild>
        <w:div w:id="158629962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boundarycommission.org.uk" TargetMode="External"/><Relationship Id="rId18" Type="http://schemas.openxmlformats.org/officeDocument/2006/relationships/image" Target="media/image3.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contact@boundarycommission.org.uk"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legislation.gov.uk/uksi/2018/1310/schedule/2/paragraph/1"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legislation.gov.uk" TargetMode="External"/><Relationship Id="rId5" Type="http://schemas.openxmlformats.org/officeDocument/2006/relationships/webSettings" Target="webSettings.xml"/><Relationship Id="rId15" Type="http://schemas.openxmlformats.org/officeDocument/2006/relationships/hyperlink" Target="https://maps.spatialni.gov.uk/" TargetMode="External"/><Relationship Id="rId10" Type="http://schemas.openxmlformats.org/officeDocument/2006/relationships/package" Target="embeddings/Microsoft_Word_Document1.docx"/><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hyperlink" Target="https://www.eoni.org.uk/Register-To-Vote/Electorate-Statistics/Electorate-Statistics-by-Ward-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A8C7B6-9E76-4984-9B97-FC88C1356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4865</Words>
  <Characters>27734</Characters>
  <Application>Microsoft Office Word</Application>
  <DocSecurity>8</DocSecurity>
  <Lines>231</Lines>
  <Paragraphs>65</Paragraphs>
  <ScaleCrop>false</ScaleCrop>
  <HeadingPairs>
    <vt:vector size="2" baseType="variant">
      <vt:variant>
        <vt:lpstr>Title</vt:lpstr>
      </vt:variant>
      <vt:variant>
        <vt:i4>1</vt:i4>
      </vt:variant>
    </vt:vector>
  </HeadingPairs>
  <TitlesOfParts>
    <vt:vector size="1" baseType="lpstr">
      <vt:lpstr/>
    </vt:vector>
  </TitlesOfParts>
  <Company>NICS</Company>
  <LinksUpToDate>false</LinksUpToDate>
  <CharactersWithSpaces>32534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McKinley</dc:creator>
  <cp:keywords/>
  <dc:description/>
  <cp:lastModifiedBy>Andrea Richardson</cp:lastModifiedBy>
  <cp:revision>2</cp:revision>
  <cp:lastPrinted>2021-05-27T11:43:00Z</cp:lastPrinted>
  <dcterms:created xsi:type="dcterms:W3CDTF">2021-05-27T11:51:00Z</dcterms:created>
  <dcterms:modified xsi:type="dcterms:W3CDTF">2021-05-27T11:51:00Z</dcterms:modified>
</cp:coreProperties>
</file>