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AC0EF" w14:textId="77777777" w:rsidR="00D26782" w:rsidRDefault="00420B0D" w:rsidP="00C763F9">
      <w:pPr>
        <w:pStyle w:val="Heading1"/>
      </w:pPr>
      <w:bookmarkStart w:id="0" w:name="_GoBack"/>
      <w:bookmarkEnd w:id="0"/>
      <w:r>
        <w:rPr>
          <w:b w:val="0"/>
          <w:noProof/>
          <w:lang w:eastAsia="en-GB"/>
        </w:rPr>
        <w:drawing>
          <wp:anchor distT="0" distB="0" distL="114300" distR="114300" simplePos="0" relativeHeight="251659264" behindDoc="0" locked="0" layoutInCell="1" allowOverlap="1" wp14:anchorId="1E35D455" wp14:editId="121F83F1">
            <wp:simplePos x="0" y="0"/>
            <wp:positionH relativeFrom="column">
              <wp:posOffset>-895350</wp:posOffset>
            </wp:positionH>
            <wp:positionV relativeFrom="paragraph">
              <wp:posOffset>-676275</wp:posOffset>
            </wp:positionV>
            <wp:extent cx="7713980" cy="1228725"/>
            <wp:effectExtent l="19050" t="0" r="1270" b="0"/>
            <wp:wrapThrough wrapText="bothSides">
              <wp:wrapPolygon edited="0">
                <wp:start x="-53" y="0"/>
                <wp:lineTo x="-53" y="21433"/>
                <wp:lineTo x="21604" y="21433"/>
                <wp:lineTo x="21604" y="0"/>
                <wp:lineTo x="-53" y="0"/>
              </wp:wrapPolygon>
            </wp:wrapThrough>
            <wp:docPr id="2" name="Picture 2" descr="C:\Users\2109327\AppData\Local\Microsoft\Windows\Temporary Internet Files\Content.Outlook\PRVP7LLW\bc_logo_draft_09_05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09327\AppData\Local\Microsoft\Windows\Temporary Internet Files\Content.Outlook\PRVP7LLW\bc_logo_draft_09_05_16.jpg"/>
                    <pic:cNvPicPr>
                      <a:picLocks noChangeAspect="1" noChangeArrowheads="1"/>
                    </pic:cNvPicPr>
                  </pic:nvPicPr>
                  <pic:blipFill>
                    <a:blip r:embed="rId6" cstate="print"/>
                    <a:srcRect/>
                    <a:stretch>
                      <a:fillRect/>
                    </a:stretch>
                  </pic:blipFill>
                  <pic:spPr bwMode="auto">
                    <a:xfrm>
                      <a:off x="0" y="0"/>
                      <a:ext cx="7713980" cy="1228725"/>
                    </a:xfrm>
                    <a:prstGeom prst="rect">
                      <a:avLst/>
                    </a:prstGeom>
                    <a:noFill/>
                    <a:ln w="9525">
                      <a:noFill/>
                      <a:miter lim="800000"/>
                      <a:headEnd/>
                      <a:tailEnd/>
                    </a:ln>
                  </pic:spPr>
                </pic:pic>
              </a:graphicData>
            </a:graphic>
          </wp:anchor>
        </w:drawing>
      </w:r>
      <w:r w:rsidR="00696F65" w:rsidRPr="00696F65">
        <w:t>Freedom of Information Policy and Publication Scheme</w:t>
      </w:r>
    </w:p>
    <w:p w14:paraId="756F405C" w14:textId="04FB891E" w:rsidR="004429C7" w:rsidRPr="004429C7" w:rsidRDefault="004429C7" w:rsidP="004F666F">
      <w:r>
        <w:t>June 2021</w:t>
      </w:r>
    </w:p>
    <w:p w14:paraId="54087993" w14:textId="77777777" w:rsidR="00D26782" w:rsidRPr="00D26782" w:rsidRDefault="004D317A" w:rsidP="00C763F9">
      <w:pPr>
        <w:pStyle w:val="Heading2"/>
        <w:rPr>
          <w:b w:val="0"/>
        </w:rPr>
      </w:pPr>
      <w:r>
        <w:t>Introduction</w:t>
      </w:r>
    </w:p>
    <w:p w14:paraId="642CD3B1" w14:textId="77777777" w:rsidR="005F32EF" w:rsidRDefault="00696F65">
      <w:pPr>
        <w:pStyle w:val="ListParagraph"/>
        <w:numPr>
          <w:ilvl w:val="0"/>
          <w:numId w:val="5"/>
        </w:numPr>
        <w:spacing w:line="240" w:lineRule="auto"/>
        <w:rPr>
          <w:sz w:val="24"/>
          <w:szCs w:val="24"/>
        </w:rPr>
      </w:pPr>
      <w:r w:rsidRPr="00696F65">
        <w:rPr>
          <w:sz w:val="24"/>
          <w:szCs w:val="24"/>
        </w:rPr>
        <w:t xml:space="preserve">The Boundary Commission for Northern Ireland (the Commission) is committed to the provisions and principles of the Freedom of Information Act 2000 (FOIA).  Further information on the FOIA, which is regulated by the Information Commissioner’s Office (ICO), can be found at </w:t>
      </w:r>
      <w:hyperlink r:id="rId7" w:history="1">
        <w:r w:rsidR="0098008F">
          <w:rPr>
            <w:rStyle w:val="Hyperlink"/>
            <w:sz w:val="24"/>
            <w:szCs w:val="24"/>
          </w:rPr>
          <w:t>www.ico.org.uk</w:t>
        </w:r>
      </w:hyperlink>
      <w:r w:rsidRPr="00696F65">
        <w:rPr>
          <w:sz w:val="24"/>
          <w:szCs w:val="24"/>
        </w:rPr>
        <w:t xml:space="preserve">.  </w:t>
      </w:r>
    </w:p>
    <w:p w14:paraId="26C21E98" w14:textId="77777777" w:rsidR="005F32EF" w:rsidRDefault="005F32EF">
      <w:pPr>
        <w:pStyle w:val="ListParagraph"/>
        <w:spacing w:line="240" w:lineRule="auto"/>
        <w:ind w:left="360"/>
        <w:rPr>
          <w:sz w:val="24"/>
          <w:szCs w:val="24"/>
        </w:rPr>
      </w:pPr>
    </w:p>
    <w:p w14:paraId="001C7946" w14:textId="636C2D50" w:rsidR="005F32EF" w:rsidRDefault="001F2ADC">
      <w:pPr>
        <w:pStyle w:val="ListParagraph"/>
        <w:numPr>
          <w:ilvl w:val="0"/>
          <w:numId w:val="5"/>
        </w:numPr>
        <w:spacing w:line="240" w:lineRule="auto"/>
        <w:rPr>
          <w:sz w:val="24"/>
          <w:szCs w:val="24"/>
        </w:rPr>
      </w:pPr>
      <w:r>
        <w:rPr>
          <w:sz w:val="24"/>
          <w:szCs w:val="24"/>
        </w:rPr>
        <w:t xml:space="preserve">The Commission has adopted the ICO’s Freedom of Information Model Publication Scheme </w:t>
      </w:r>
      <w:r w:rsidR="00214CAC">
        <w:rPr>
          <w:sz w:val="24"/>
          <w:szCs w:val="24"/>
        </w:rPr>
        <w:t>for public sector organisations</w:t>
      </w:r>
      <w:r>
        <w:rPr>
          <w:sz w:val="24"/>
          <w:szCs w:val="24"/>
        </w:rPr>
        <w:t xml:space="preserve">.  </w:t>
      </w:r>
      <w:r w:rsidR="00BF5D70">
        <w:rPr>
          <w:sz w:val="24"/>
          <w:szCs w:val="24"/>
        </w:rPr>
        <w:t xml:space="preserve">In line with the Model Scheme, </w:t>
      </w:r>
      <w:r>
        <w:rPr>
          <w:sz w:val="24"/>
          <w:szCs w:val="24"/>
        </w:rPr>
        <w:t xml:space="preserve">a </w:t>
      </w:r>
      <w:r w:rsidR="0005236C">
        <w:rPr>
          <w:sz w:val="24"/>
          <w:szCs w:val="24"/>
        </w:rPr>
        <w:t>G</w:t>
      </w:r>
      <w:r>
        <w:rPr>
          <w:sz w:val="24"/>
          <w:szCs w:val="24"/>
        </w:rPr>
        <w:t>uide</w:t>
      </w:r>
      <w:r w:rsidR="00AB016A">
        <w:rPr>
          <w:sz w:val="24"/>
          <w:szCs w:val="24"/>
        </w:rPr>
        <w:t xml:space="preserve"> t</w:t>
      </w:r>
      <w:r w:rsidR="0005236C">
        <w:rPr>
          <w:sz w:val="24"/>
          <w:szCs w:val="24"/>
        </w:rPr>
        <w:t>o Information</w:t>
      </w:r>
      <w:r>
        <w:rPr>
          <w:sz w:val="24"/>
          <w:szCs w:val="24"/>
        </w:rPr>
        <w:t xml:space="preserve"> </w:t>
      </w:r>
      <w:r w:rsidR="00BF5D70">
        <w:rPr>
          <w:sz w:val="24"/>
          <w:szCs w:val="24"/>
        </w:rPr>
        <w:t>indicating what</w:t>
      </w:r>
      <w:r>
        <w:rPr>
          <w:sz w:val="24"/>
          <w:szCs w:val="24"/>
        </w:rPr>
        <w:t xml:space="preserve"> information </w:t>
      </w:r>
      <w:r w:rsidR="00BF5D70">
        <w:rPr>
          <w:sz w:val="24"/>
          <w:szCs w:val="24"/>
        </w:rPr>
        <w:t xml:space="preserve">is </w:t>
      </w:r>
      <w:r>
        <w:rPr>
          <w:sz w:val="24"/>
          <w:szCs w:val="24"/>
        </w:rPr>
        <w:t>available and how it can be accessed</w:t>
      </w:r>
      <w:r w:rsidR="00BF5D70">
        <w:rPr>
          <w:sz w:val="24"/>
          <w:szCs w:val="24"/>
        </w:rPr>
        <w:t xml:space="preserve"> is provided </w:t>
      </w:r>
      <w:r w:rsidR="00375295">
        <w:rPr>
          <w:sz w:val="24"/>
          <w:szCs w:val="24"/>
        </w:rPr>
        <w:t xml:space="preserve">at Annex </w:t>
      </w:r>
      <w:r w:rsidR="00214CAC">
        <w:rPr>
          <w:sz w:val="24"/>
          <w:szCs w:val="24"/>
        </w:rPr>
        <w:t>A</w:t>
      </w:r>
      <w:r w:rsidR="00375295">
        <w:rPr>
          <w:sz w:val="24"/>
          <w:szCs w:val="24"/>
        </w:rPr>
        <w:t>.</w:t>
      </w:r>
    </w:p>
    <w:p w14:paraId="5F6533EA" w14:textId="77777777" w:rsidR="00696F65" w:rsidRPr="00696F65" w:rsidRDefault="00696F65" w:rsidP="00C763F9">
      <w:pPr>
        <w:pStyle w:val="Heading2"/>
      </w:pPr>
      <w:r w:rsidRPr="00696F65">
        <w:t>Obtaining and locating information</w:t>
      </w:r>
    </w:p>
    <w:p w14:paraId="03FF3D5D" w14:textId="5535AFA1" w:rsidR="0005236C" w:rsidRPr="00AD4081" w:rsidRDefault="00375295" w:rsidP="00AD4081">
      <w:pPr>
        <w:pStyle w:val="ListParagraph"/>
        <w:numPr>
          <w:ilvl w:val="0"/>
          <w:numId w:val="5"/>
        </w:numPr>
        <w:spacing w:line="240" w:lineRule="auto"/>
        <w:ind w:left="357" w:hanging="357"/>
        <w:contextualSpacing w:val="0"/>
        <w:rPr>
          <w:sz w:val="24"/>
          <w:szCs w:val="24"/>
        </w:rPr>
      </w:pPr>
      <w:r w:rsidRPr="00AD4081">
        <w:rPr>
          <w:sz w:val="24"/>
          <w:szCs w:val="24"/>
        </w:rPr>
        <w:t xml:space="preserve">Most of the information referenced in the Guide to Information can be found on the </w:t>
      </w:r>
      <w:hyperlink r:id="rId8" w:history="1">
        <w:r w:rsidRPr="00AD4081">
          <w:rPr>
            <w:rStyle w:val="Hyperlink"/>
            <w:sz w:val="24"/>
            <w:szCs w:val="24"/>
          </w:rPr>
          <w:t>Commission’s website</w:t>
        </w:r>
      </w:hyperlink>
      <w:r w:rsidRPr="00AD4081">
        <w:rPr>
          <w:sz w:val="24"/>
          <w:szCs w:val="24"/>
        </w:rPr>
        <w:t xml:space="preserve">.  </w:t>
      </w:r>
      <w:r w:rsidR="001C29B5" w:rsidRPr="00AD4081">
        <w:rPr>
          <w:sz w:val="24"/>
          <w:szCs w:val="24"/>
        </w:rPr>
        <w:t>Information is usually published in</w:t>
      </w:r>
      <w:r w:rsidRPr="00AD4081">
        <w:rPr>
          <w:sz w:val="24"/>
          <w:szCs w:val="24"/>
        </w:rPr>
        <w:t xml:space="preserve"> readily </w:t>
      </w:r>
      <w:r w:rsidR="001C29B5" w:rsidRPr="00AD4081">
        <w:rPr>
          <w:sz w:val="24"/>
          <w:szCs w:val="24"/>
        </w:rPr>
        <w:t>usable</w:t>
      </w:r>
      <w:r w:rsidRPr="00AD4081">
        <w:rPr>
          <w:sz w:val="24"/>
          <w:szCs w:val="24"/>
        </w:rPr>
        <w:t xml:space="preserve"> formats such as spreadsheets, PDF</w:t>
      </w:r>
      <w:r w:rsidR="00CB3EF6">
        <w:rPr>
          <w:sz w:val="24"/>
          <w:szCs w:val="24"/>
        </w:rPr>
        <w:t>s</w:t>
      </w:r>
      <w:r w:rsidR="001C29B5" w:rsidRPr="00AD4081">
        <w:rPr>
          <w:sz w:val="24"/>
          <w:szCs w:val="24"/>
        </w:rPr>
        <w:t xml:space="preserve"> or Word document</w:t>
      </w:r>
      <w:r w:rsidR="00A864A6" w:rsidRPr="00AD4081">
        <w:rPr>
          <w:sz w:val="24"/>
          <w:szCs w:val="24"/>
        </w:rPr>
        <w:t>s</w:t>
      </w:r>
      <w:r w:rsidRPr="00AD4081">
        <w:rPr>
          <w:sz w:val="24"/>
          <w:szCs w:val="24"/>
        </w:rPr>
        <w:t>.  However the Commis</w:t>
      </w:r>
      <w:r w:rsidR="009A1833" w:rsidRPr="00AD4081">
        <w:rPr>
          <w:sz w:val="24"/>
          <w:szCs w:val="24"/>
        </w:rPr>
        <w:t xml:space="preserve">sion will endeavour to provide </w:t>
      </w:r>
      <w:r w:rsidRPr="00AD4081">
        <w:rPr>
          <w:sz w:val="24"/>
          <w:szCs w:val="24"/>
        </w:rPr>
        <w:t>document</w:t>
      </w:r>
      <w:r w:rsidR="009A1833" w:rsidRPr="00AD4081">
        <w:rPr>
          <w:sz w:val="24"/>
          <w:szCs w:val="24"/>
        </w:rPr>
        <w:t>s i</w:t>
      </w:r>
      <w:r w:rsidRPr="00AD4081">
        <w:rPr>
          <w:sz w:val="24"/>
          <w:szCs w:val="24"/>
        </w:rPr>
        <w:t xml:space="preserve">n </w:t>
      </w:r>
      <w:r w:rsidR="00AD4081" w:rsidRPr="00AD4081">
        <w:rPr>
          <w:sz w:val="24"/>
          <w:szCs w:val="24"/>
        </w:rPr>
        <w:t xml:space="preserve">hard copy or </w:t>
      </w:r>
      <w:r w:rsidRPr="00AD4081">
        <w:rPr>
          <w:sz w:val="24"/>
          <w:szCs w:val="24"/>
        </w:rPr>
        <w:t>alternative formats on request</w:t>
      </w:r>
      <w:r w:rsidR="00907FC6">
        <w:rPr>
          <w:sz w:val="24"/>
          <w:szCs w:val="24"/>
        </w:rPr>
        <w:t>.</w:t>
      </w:r>
      <w:r w:rsidR="0005236C" w:rsidRPr="00AD4081">
        <w:rPr>
          <w:sz w:val="24"/>
          <w:szCs w:val="24"/>
        </w:rPr>
        <w:t xml:space="preserve"> </w:t>
      </w:r>
    </w:p>
    <w:p w14:paraId="3D87019F" w14:textId="2DEB8929" w:rsidR="00094EDD" w:rsidRPr="00380BCF" w:rsidRDefault="00AD4081" w:rsidP="00380BCF">
      <w:pPr>
        <w:pStyle w:val="ListParagraph"/>
        <w:numPr>
          <w:ilvl w:val="0"/>
          <w:numId w:val="5"/>
        </w:numPr>
        <w:spacing w:before="240" w:after="240" w:line="240" w:lineRule="auto"/>
        <w:ind w:left="357" w:hanging="357"/>
        <w:contextualSpacing w:val="0"/>
        <w:rPr>
          <w:rFonts w:eastAsia="Times New Roman" w:cs="Times New Roman"/>
          <w:sz w:val="24"/>
          <w:szCs w:val="24"/>
          <w:lang w:eastAsia="en-GB"/>
        </w:rPr>
      </w:pPr>
      <w:r>
        <w:rPr>
          <w:rFonts w:eastAsia="Times New Roman" w:cs="Arial"/>
          <w:sz w:val="24"/>
          <w:szCs w:val="24"/>
          <w:lang w:eastAsia="en-GB"/>
        </w:rPr>
        <w:t>I</w:t>
      </w:r>
      <w:r w:rsidR="0019292F" w:rsidRPr="0019292F">
        <w:rPr>
          <w:rFonts w:eastAsia="Times New Roman" w:cs="Arial"/>
          <w:sz w:val="24"/>
          <w:szCs w:val="24"/>
          <w:lang w:eastAsia="en-GB"/>
        </w:rPr>
        <w:t xml:space="preserve">f you </w:t>
      </w:r>
      <w:r>
        <w:rPr>
          <w:rFonts w:eastAsia="Times New Roman" w:cs="Arial"/>
          <w:sz w:val="24"/>
          <w:szCs w:val="24"/>
          <w:lang w:eastAsia="en-GB"/>
        </w:rPr>
        <w:t>wish to request</w:t>
      </w:r>
      <w:r w:rsidR="0019292F" w:rsidRPr="0019292F">
        <w:rPr>
          <w:rFonts w:eastAsia="Times New Roman" w:cs="Arial"/>
          <w:sz w:val="24"/>
          <w:szCs w:val="24"/>
          <w:lang w:eastAsia="en-GB"/>
        </w:rPr>
        <w:t xml:space="preserve"> information which is not</w:t>
      </w:r>
      <w:r>
        <w:rPr>
          <w:rFonts w:eastAsia="Times New Roman" w:cs="Arial"/>
          <w:sz w:val="24"/>
          <w:szCs w:val="24"/>
          <w:lang w:eastAsia="en-GB"/>
        </w:rPr>
        <w:t xml:space="preserve"> available via the Publication Scheme (Annex A),</w:t>
      </w:r>
      <w:r w:rsidR="0019292F" w:rsidRPr="0019292F">
        <w:rPr>
          <w:rFonts w:eastAsia="Times New Roman" w:cs="Arial"/>
          <w:sz w:val="24"/>
          <w:szCs w:val="24"/>
          <w:lang w:eastAsia="en-GB"/>
        </w:rPr>
        <w:t xml:space="preserve"> you may </w:t>
      </w:r>
      <w:r>
        <w:rPr>
          <w:rFonts w:eastAsia="Times New Roman" w:cs="Arial"/>
          <w:sz w:val="24"/>
          <w:szCs w:val="24"/>
          <w:lang w:eastAsia="en-GB"/>
        </w:rPr>
        <w:t xml:space="preserve">request </w:t>
      </w:r>
      <w:r w:rsidR="0019292F" w:rsidRPr="0019292F">
        <w:rPr>
          <w:rFonts w:eastAsia="Times New Roman" w:cs="Arial"/>
          <w:sz w:val="24"/>
          <w:szCs w:val="24"/>
          <w:lang w:eastAsia="en-GB"/>
        </w:rPr>
        <w:t xml:space="preserve">it in accordance with </w:t>
      </w:r>
      <w:r w:rsidR="0044504F">
        <w:rPr>
          <w:rFonts w:eastAsia="Times New Roman" w:cs="Arial"/>
          <w:sz w:val="24"/>
          <w:szCs w:val="24"/>
          <w:lang w:eastAsia="en-GB"/>
        </w:rPr>
        <w:t xml:space="preserve">the </w:t>
      </w:r>
      <w:r w:rsidR="0019292F" w:rsidRPr="0019292F">
        <w:rPr>
          <w:rFonts w:eastAsia="Times New Roman" w:cs="Arial"/>
          <w:sz w:val="24"/>
          <w:szCs w:val="24"/>
          <w:lang w:eastAsia="en-GB"/>
        </w:rPr>
        <w:t>provisions of the Freedom of Information Act 2000 and of the Environmental Information Regulations 2005</w:t>
      </w:r>
      <w:r w:rsidR="00882596">
        <w:rPr>
          <w:rFonts w:eastAsia="Times New Roman" w:cs="Arial"/>
          <w:sz w:val="24"/>
          <w:szCs w:val="24"/>
          <w:lang w:eastAsia="en-GB"/>
        </w:rPr>
        <w:t>.</w:t>
      </w:r>
      <w:r w:rsidR="00CF2303" w:rsidRPr="00CF2303">
        <w:rPr>
          <w:rFonts w:eastAsia="Times New Roman" w:cs="Times New Roman"/>
          <w:sz w:val="24"/>
          <w:szCs w:val="24"/>
          <w:lang w:eastAsia="en-GB"/>
        </w:rPr>
        <w:t xml:space="preserve"> </w:t>
      </w:r>
      <w:r w:rsidR="00CF2303">
        <w:rPr>
          <w:rFonts w:eastAsia="Times New Roman" w:cs="Times New Roman"/>
          <w:sz w:val="24"/>
          <w:szCs w:val="24"/>
          <w:lang w:eastAsia="en-GB"/>
        </w:rPr>
        <w:t>The Commission has a duty to reply to such</w:t>
      </w:r>
      <w:r w:rsidR="00CF2303" w:rsidRPr="00EC3802">
        <w:rPr>
          <w:rFonts w:eastAsia="Times New Roman" w:cs="Times New Roman"/>
          <w:sz w:val="24"/>
          <w:szCs w:val="24"/>
          <w:lang w:eastAsia="en-GB"/>
        </w:rPr>
        <w:t xml:space="preserve"> request</w:t>
      </w:r>
      <w:r w:rsidR="00CF2303">
        <w:rPr>
          <w:rFonts w:eastAsia="Times New Roman" w:cs="Times New Roman"/>
          <w:sz w:val="24"/>
          <w:szCs w:val="24"/>
          <w:lang w:eastAsia="en-GB"/>
        </w:rPr>
        <w:t>s</w:t>
      </w:r>
      <w:r w:rsidR="00CF2303" w:rsidRPr="00EC3802">
        <w:rPr>
          <w:rFonts w:eastAsia="Times New Roman" w:cs="Times New Roman"/>
          <w:sz w:val="24"/>
          <w:szCs w:val="24"/>
          <w:lang w:eastAsia="en-GB"/>
        </w:rPr>
        <w:t xml:space="preserve"> within 20 working days.</w:t>
      </w:r>
      <w:r w:rsidR="00CF2303">
        <w:rPr>
          <w:rFonts w:eastAsia="Times New Roman" w:cs="Times New Roman"/>
          <w:sz w:val="24"/>
          <w:szCs w:val="24"/>
          <w:lang w:eastAsia="en-GB"/>
        </w:rPr>
        <w:t xml:space="preserve"> </w:t>
      </w:r>
      <w:r w:rsidR="00CF2303">
        <w:rPr>
          <w:rFonts w:eastAsia="Times New Roman" w:cs="Times New Roman"/>
          <w:color w:val="FF0000"/>
          <w:sz w:val="24"/>
          <w:szCs w:val="24"/>
          <w:lang w:eastAsia="en-GB"/>
        </w:rPr>
        <w:t xml:space="preserve"> </w:t>
      </w:r>
      <w:r w:rsidR="00CF2303" w:rsidRPr="00EC3802">
        <w:rPr>
          <w:rFonts w:eastAsia="Times New Roman" w:cs="Times New Roman"/>
          <w:sz w:val="24"/>
          <w:szCs w:val="24"/>
          <w:lang w:eastAsia="en-GB"/>
        </w:rPr>
        <w:t xml:space="preserve">This can be extended where we are considering whether it is in the public interest to disclose the information. If that is the case we will write to you within </w:t>
      </w:r>
      <w:r w:rsidR="00CF2303" w:rsidRPr="00DB6F3D">
        <w:rPr>
          <w:rFonts w:eastAsia="Times New Roman" w:cs="Times New Roman"/>
          <w:color w:val="000000" w:themeColor="text1"/>
          <w:sz w:val="24"/>
          <w:szCs w:val="24"/>
          <w:lang w:eastAsia="en-GB"/>
        </w:rPr>
        <w:t>20 working days to</w:t>
      </w:r>
      <w:r w:rsidR="00CF2303">
        <w:rPr>
          <w:rFonts w:eastAsia="Times New Roman" w:cs="Times New Roman"/>
          <w:sz w:val="24"/>
          <w:szCs w:val="24"/>
          <w:lang w:eastAsia="en-GB"/>
        </w:rPr>
        <w:t xml:space="preserve"> inform</w:t>
      </w:r>
      <w:r w:rsidR="00CF2303" w:rsidRPr="00EC3802">
        <w:rPr>
          <w:rFonts w:eastAsia="Times New Roman" w:cs="Times New Roman"/>
          <w:sz w:val="24"/>
          <w:szCs w:val="24"/>
          <w:lang w:eastAsia="en-GB"/>
        </w:rPr>
        <w:t xml:space="preserve"> you that we are still considering your request and giv</w:t>
      </w:r>
      <w:r w:rsidR="00CF2303">
        <w:rPr>
          <w:rFonts w:eastAsia="Times New Roman" w:cs="Times New Roman"/>
          <w:sz w:val="24"/>
          <w:szCs w:val="24"/>
          <w:lang w:eastAsia="en-GB"/>
        </w:rPr>
        <w:t>e</w:t>
      </w:r>
      <w:r w:rsidR="00CF2303" w:rsidRPr="00EC3802">
        <w:rPr>
          <w:rFonts w:eastAsia="Times New Roman" w:cs="Times New Roman"/>
          <w:sz w:val="24"/>
          <w:szCs w:val="24"/>
          <w:lang w:eastAsia="en-GB"/>
        </w:rPr>
        <w:t xml:space="preserve"> an estimate of when we will respond more fully.</w:t>
      </w:r>
    </w:p>
    <w:p w14:paraId="1DD21FA3" w14:textId="77777777" w:rsidR="00696F65" w:rsidRPr="00696F65" w:rsidRDefault="00696F65" w:rsidP="00C763F9">
      <w:pPr>
        <w:pStyle w:val="Heading2"/>
      </w:pPr>
      <w:r w:rsidRPr="00696F65">
        <w:t>Copyright</w:t>
      </w:r>
    </w:p>
    <w:p w14:paraId="0E4AC6A0" w14:textId="0D8E4391" w:rsidR="003C26CC" w:rsidRPr="003C26CC" w:rsidRDefault="00780CF6" w:rsidP="003C26CC">
      <w:pPr>
        <w:pStyle w:val="ListParagraph"/>
        <w:numPr>
          <w:ilvl w:val="0"/>
          <w:numId w:val="5"/>
        </w:numPr>
      </w:pPr>
      <w:r w:rsidRPr="003C26CC">
        <w:rPr>
          <w:sz w:val="24"/>
          <w:szCs w:val="24"/>
        </w:rPr>
        <w:t xml:space="preserve">Commission publications are subject to Crown Copyright.  </w:t>
      </w:r>
      <w:r w:rsidR="00882596" w:rsidRPr="003C26CC">
        <w:rPr>
          <w:sz w:val="24"/>
          <w:szCs w:val="24"/>
        </w:rPr>
        <w:t xml:space="preserve">You may use and re-use </w:t>
      </w:r>
      <w:r w:rsidR="00282BCA" w:rsidRPr="003C26CC">
        <w:rPr>
          <w:sz w:val="24"/>
          <w:szCs w:val="24"/>
        </w:rPr>
        <w:t>the content of</w:t>
      </w:r>
      <w:r w:rsidR="00F80F39" w:rsidRPr="003C26CC">
        <w:rPr>
          <w:strike/>
          <w:sz w:val="24"/>
          <w:szCs w:val="24"/>
        </w:rPr>
        <w:t xml:space="preserve"> </w:t>
      </w:r>
      <w:r w:rsidR="00F80F39" w:rsidRPr="003C26CC">
        <w:rPr>
          <w:sz w:val="24"/>
          <w:szCs w:val="24"/>
        </w:rPr>
        <w:t>most</w:t>
      </w:r>
      <w:r w:rsidR="00F80F39" w:rsidRPr="003C26CC">
        <w:rPr>
          <w:strike/>
          <w:sz w:val="24"/>
          <w:szCs w:val="24"/>
        </w:rPr>
        <w:t xml:space="preserve"> </w:t>
      </w:r>
      <w:r w:rsidR="009824A3" w:rsidRPr="003C26CC">
        <w:rPr>
          <w:sz w:val="24"/>
          <w:szCs w:val="24"/>
        </w:rPr>
        <w:t xml:space="preserve">Commission </w:t>
      </w:r>
      <w:r w:rsidR="00882596" w:rsidRPr="003C26CC">
        <w:rPr>
          <w:sz w:val="24"/>
          <w:szCs w:val="24"/>
        </w:rPr>
        <w:t>publications and website</w:t>
      </w:r>
      <w:r w:rsidR="009824A3" w:rsidRPr="003C26CC">
        <w:rPr>
          <w:sz w:val="24"/>
          <w:szCs w:val="24"/>
        </w:rPr>
        <w:t xml:space="preserve"> content</w:t>
      </w:r>
      <w:r w:rsidR="00882596" w:rsidRPr="003C26CC">
        <w:rPr>
          <w:sz w:val="24"/>
          <w:szCs w:val="24"/>
        </w:rPr>
        <w:t xml:space="preserve"> (not including logos) free</w:t>
      </w:r>
      <w:r w:rsidR="00D825CD">
        <w:rPr>
          <w:sz w:val="24"/>
          <w:szCs w:val="24"/>
        </w:rPr>
        <w:t xml:space="preserve"> </w:t>
      </w:r>
      <w:r w:rsidR="00882596" w:rsidRPr="003C26CC">
        <w:rPr>
          <w:sz w:val="24"/>
          <w:szCs w:val="24"/>
        </w:rPr>
        <w:t>of charge in any format</w:t>
      </w:r>
      <w:r w:rsidR="00F346C7" w:rsidRPr="003C26CC">
        <w:rPr>
          <w:sz w:val="24"/>
          <w:szCs w:val="24"/>
        </w:rPr>
        <w:t>, with only a few conditions.</w:t>
      </w:r>
      <w:r w:rsidR="003C26CC" w:rsidRPr="003C26CC">
        <w:rPr>
          <w:sz w:val="24"/>
          <w:szCs w:val="24"/>
        </w:rPr>
        <w:t xml:space="preserve"> Further information can be found on </w:t>
      </w:r>
      <w:hyperlink r:id="rId9" w:history="1">
        <w:r w:rsidR="003C26CC" w:rsidRPr="003C26CC">
          <w:rPr>
            <w:rStyle w:val="Hyperlink"/>
            <w:sz w:val="24"/>
            <w:szCs w:val="24"/>
          </w:rPr>
          <w:t>the Commission’s website.</w:t>
        </w:r>
      </w:hyperlink>
      <w:r w:rsidR="003C26CC" w:rsidRPr="003C26CC">
        <w:rPr>
          <w:sz w:val="24"/>
          <w:szCs w:val="24"/>
        </w:rPr>
        <w:t xml:space="preserve">  T</w:t>
      </w:r>
      <w:r w:rsidR="00F50A75">
        <w:rPr>
          <w:sz w:val="24"/>
          <w:szCs w:val="24"/>
        </w:rPr>
        <w:t>his</w:t>
      </w:r>
      <w:r w:rsidR="003C26CC" w:rsidRPr="003C26CC">
        <w:rPr>
          <w:sz w:val="24"/>
          <w:szCs w:val="24"/>
        </w:rPr>
        <w:t xml:space="preserve"> permission to reproduce Crown copyright material does not extend to any material which is identified as being the copyright of a third party.</w:t>
      </w:r>
      <w:r w:rsidR="006A316A" w:rsidRPr="003C26CC">
        <w:rPr>
          <w:sz w:val="24"/>
          <w:szCs w:val="24"/>
        </w:rPr>
        <w:t xml:space="preserve"> </w:t>
      </w:r>
    </w:p>
    <w:p w14:paraId="3B023788" w14:textId="122D3BEB" w:rsidR="003C26CC" w:rsidRDefault="003C26CC" w:rsidP="003C26CC">
      <w:pPr>
        <w:pStyle w:val="ListParagraph"/>
        <w:ind w:left="360"/>
      </w:pPr>
    </w:p>
    <w:p w14:paraId="09C80D3B" w14:textId="7FEEBD2C" w:rsidR="004E23BC" w:rsidRPr="001766AE" w:rsidRDefault="009A104F" w:rsidP="001766AE">
      <w:pPr>
        <w:pStyle w:val="ListParagraph"/>
        <w:numPr>
          <w:ilvl w:val="0"/>
          <w:numId w:val="5"/>
        </w:numPr>
        <w:rPr>
          <w:rFonts w:ascii="Calibri" w:hAnsi="Calibri"/>
          <w:b/>
        </w:rPr>
      </w:pPr>
      <w:r w:rsidRPr="002F612D">
        <w:rPr>
          <w:sz w:val="24"/>
          <w:szCs w:val="24"/>
        </w:rPr>
        <w:t xml:space="preserve">Maps used in Commission documents and on our website are based upon Crown Copyright material and are reproduced with the permission of Land &amp; Property Services under delegated authority from the Keeper of Public Records, </w:t>
      </w:r>
      <w:r w:rsidR="00D46DCF" w:rsidRPr="002F612D">
        <w:rPr>
          <w:sz w:val="24"/>
          <w:szCs w:val="24"/>
        </w:rPr>
        <w:t>©</w:t>
      </w:r>
      <w:r w:rsidRPr="002F612D">
        <w:rPr>
          <w:sz w:val="24"/>
          <w:szCs w:val="24"/>
        </w:rPr>
        <w:t>Crown copyright and database right (</w:t>
      </w:r>
      <w:r w:rsidR="0058173E" w:rsidRPr="002F612D">
        <w:rPr>
          <w:sz w:val="24"/>
          <w:szCs w:val="24"/>
        </w:rPr>
        <w:t xml:space="preserve">per </w:t>
      </w:r>
      <w:r w:rsidRPr="002F612D">
        <w:rPr>
          <w:sz w:val="24"/>
          <w:szCs w:val="24"/>
        </w:rPr>
        <w:t xml:space="preserve">year of publication).  These maps may be reproduced for purposes of communicating with the Commission regarding the review of constituency boundaries. Any other reproduction in whole or in part requires the prior permission of Land &amp; </w:t>
      </w:r>
      <w:r w:rsidRPr="002F612D">
        <w:rPr>
          <w:sz w:val="24"/>
          <w:szCs w:val="24"/>
        </w:rPr>
        <w:lastRenderedPageBreak/>
        <w:t>Property Services. Unauthorised reproduction</w:t>
      </w:r>
      <w:r w:rsidRPr="001766AE">
        <w:rPr>
          <w:sz w:val="24"/>
          <w:szCs w:val="24"/>
        </w:rPr>
        <w:t xml:space="preserve"> will infringe Crown Copyright and may lead to prosecution or civil proceedings. Any person wishing to reproduce maps</w:t>
      </w:r>
      <w:r w:rsidR="0058173E" w:rsidRPr="001766AE">
        <w:rPr>
          <w:sz w:val="24"/>
          <w:szCs w:val="24"/>
        </w:rPr>
        <w:t xml:space="preserve">, other than for the purposes of communicating with the Commission regarding the review of constituency boundaries, </w:t>
      </w:r>
      <w:r w:rsidRPr="001766AE">
        <w:rPr>
          <w:sz w:val="24"/>
          <w:szCs w:val="24"/>
        </w:rPr>
        <w:t xml:space="preserve">should contact </w:t>
      </w:r>
      <w:hyperlink r:id="rId10" w:history="1">
        <w:r w:rsidRPr="001766AE">
          <w:rPr>
            <w:rStyle w:val="Hyperlink"/>
            <w:sz w:val="24"/>
            <w:szCs w:val="24"/>
          </w:rPr>
          <w:t>Land &amp; Property Services</w:t>
        </w:r>
      </w:hyperlink>
      <w:r w:rsidR="003266EF" w:rsidRPr="001766AE">
        <w:rPr>
          <w:sz w:val="24"/>
          <w:szCs w:val="24"/>
        </w:rPr>
        <w:t>.</w:t>
      </w:r>
    </w:p>
    <w:p w14:paraId="7E8D877D" w14:textId="77777777" w:rsidR="00BA33C9" w:rsidRPr="00BA33C9" w:rsidRDefault="00BA33C9" w:rsidP="00C763F9">
      <w:pPr>
        <w:pStyle w:val="Heading2"/>
      </w:pPr>
      <w:r w:rsidRPr="00BA33C9">
        <w:t>Feedback, questions and further information</w:t>
      </w:r>
    </w:p>
    <w:p w14:paraId="1693B05D" w14:textId="10890D12" w:rsidR="005F32EF" w:rsidRDefault="00225BEC">
      <w:pPr>
        <w:pStyle w:val="ListParagraph"/>
        <w:numPr>
          <w:ilvl w:val="0"/>
          <w:numId w:val="5"/>
        </w:numPr>
        <w:spacing w:line="240" w:lineRule="auto"/>
        <w:ind w:left="357"/>
        <w:contextualSpacing w:val="0"/>
        <w:rPr>
          <w:sz w:val="24"/>
          <w:szCs w:val="24"/>
        </w:rPr>
      </w:pPr>
      <w:r>
        <w:rPr>
          <w:sz w:val="24"/>
          <w:szCs w:val="24"/>
        </w:rPr>
        <w:t>The Commission welcomes</w:t>
      </w:r>
      <w:r w:rsidR="00896128">
        <w:rPr>
          <w:sz w:val="24"/>
          <w:szCs w:val="24"/>
        </w:rPr>
        <w:t xml:space="preserve"> suggestions for additional classes of information which might be included in future, or how information might be made more accessible</w:t>
      </w:r>
      <w:r>
        <w:rPr>
          <w:sz w:val="24"/>
          <w:szCs w:val="24"/>
        </w:rPr>
        <w:t>.</w:t>
      </w:r>
    </w:p>
    <w:p w14:paraId="3AE18D44" w14:textId="19660352" w:rsidR="005F32EF" w:rsidRDefault="00896128">
      <w:pPr>
        <w:pStyle w:val="ListParagraph"/>
        <w:numPr>
          <w:ilvl w:val="0"/>
          <w:numId w:val="5"/>
        </w:numPr>
        <w:spacing w:line="240" w:lineRule="auto"/>
        <w:ind w:left="357"/>
        <w:contextualSpacing w:val="0"/>
        <w:rPr>
          <w:sz w:val="24"/>
          <w:szCs w:val="24"/>
        </w:rPr>
      </w:pPr>
      <w:r>
        <w:rPr>
          <w:sz w:val="24"/>
          <w:szCs w:val="24"/>
        </w:rPr>
        <w:t>Any questions about this policy</w:t>
      </w:r>
      <w:r w:rsidR="00270786">
        <w:rPr>
          <w:sz w:val="24"/>
          <w:szCs w:val="24"/>
        </w:rPr>
        <w:t>, or requests for further information</w:t>
      </w:r>
      <w:r>
        <w:rPr>
          <w:sz w:val="24"/>
          <w:szCs w:val="24"/>
        </w:rPr>
        <w:t xml:space="preserve"> should be sent to the Commission Secretariat</w:t>
      </w:r>
      <w:r w:rsidR="008B2D71">
        <w:rPr>
          <w:sz w:val="24"/>
          <w:szCs w:val="24"/>
        </w:rPr>
        <w:t xml:space="preserve"> using the contact details provided below.</w:t>
      </w:r>
    </w:p>
    <w:p w14:paraId="79F54D5B" w14:textId="77777777" w:rsidR="005F32EF" w:rsidRDefault="00696F65" w:rsidP="00C763F9">
      <w:pPr>
        <w:pStyle w:val="Heading2"/>
      </w:pPr>
      <w:r w:rsidRPr="00696F65">
        <w:t>Contact details</w:t>
      </w:r>
    </w:p>
    <w:p w14:paraId="52A58C3A" w14:textId="1DF48A2A" w:rsidR="005F32EF" w:rsidRDefault="00896128">
      <w:pPr>
        <w:pStyle w:val="ListParagraph"/>
        <w:numPr>
          <w:ilvl w:val="0"/>
          <w:numId w:val="5"/>
        </w:numPr>
        <w:spacing w:line="240" w:lineRule="auto"/>
        <w:ind w:left="357"/>
        <w:contextualSpacing w:val="0"/>
        <w:rPr>
          <w:sz w:val="24"/>
          <w:szCs w:val="24"/>
        </w:rPr>
      </w:pPr>
      <w:r>
        <w:rPr>
          <w:sz w:val="24"/>
          <w:szCs w:val="24"/>
        </w:rPr>
        <w:t>The Boundary Commission for Northern Ireland can be contacted at:</w:t>
      </w:r>
    </w:p>
    <w:p w14:paraId="345D0FC0" w14:textId="77777777" w:rsidR="005F32EF" w:rsidRDefault="00896128">
      <w:pPr>
        <w:pStyle w:val="ListParagraph"/>
        <w:spacing w:after="0" w:line="240" w:lineRule="auto"/>
        <w:ind w:left="357"/>
        <w:contextualSpacing w:val="0"/>
        <w:rPr>
          <w:sz w:val="24"/>
          <w:szCs w:val="24"/>
        </w:rPr>
      </w:pPr>
      <w:r>
        <w:rPr>
          <w:sz w:val="24"/>
          <w:szCs w:val="24"/>
        </w:rPr>
        <w:t>The Bungalow</w:t>
      </w:r>
    </w:p>
    <w:p w14:paraId="7131FF68" w14:textId="77777777" w:rsidR="005F32EF" w:rsidRDefault="00896128">
      <w:pPr>
        <w:pStyle w:val="ListParagraph"/>
        <w:spacing w:after="0" w:line="240" w:lineRule="auto"/>
        <w:ind w:left="357"/>
        <w:contextualSpacing w:val="0"/>
        <w:rPr>
          <w:sz w:val="24"/>
          <w:szCs w:val="24"/>
        </w:rPr>
      </w:pPr>
      <w:r>
        <w:rPr>
          <w:sz w:val="24"/>
          <w:szCs w:val="24"/>
        </w:rPr>
        <w:t>Stormont House</w:t>
      </w:r>
    </w:p>
    <w:p w14:paraId="26201DA3" w14:textId="77777777" w:rsidR="005F32EF" w:rsidRDefault="00896128">
      <w:pPr>
        <w:pStyle w:val="ListParagraph"/>
        <w:spacing w:after="0" w:line="240" w:lineRule="auto"/>
        <w:ind w:left="357"/>
        <w:contextualSpacing w:val="0"/>
        <w:rPr>
          <w:sz w:val="24"/>
          <w:szCs w:val="24"/>
        </w:rPr>
      </w:pPr>
      <w:r>
        <w:rPr>
          <w:sz w:val="24"/>
          <w:szCs w:val="24"/>
        </w:rPr>
        <w:t>Stormont Estate</w:t>
      </w:r>
    </w:p>
    <w:p w14:paraId="391DBC93" w14:textId="77777777" w:rsidR="005F32EF" w:rsidRDefault="00896128">
      <w:pPr>
        <w:pStyle w:val="ListParagraph"/>
        <w:spacing w:after="0" w:line="240" w:lineRule="auto"/>
        <w:ind w:left="357"/>
        <w:contextualSpacing w:val="0"/>
        <w:rPr>
          <w:sz w:val="24"/>
          <w:szCs w:val="24"/>
        </w:rPr>
      </w:pPr>
      <w:r>
        <w:rPr>
          <w:sz w:val="24"/>
          <w:szCs w:val="24"/>
        </w:rPr>
        <w:t>Belfast</w:t>
      </w:r>
    </w:p>
    <w:p w14:paraId="44D81C62" w14:textId="77777777" w:rsidR="005F32EF" w:rsidRDefault="00896128">
      <w:pPr>
        <w:pStyle w:val="ListParagraph"/>
        <w:spacing w:after="0" w:line="240" w:lineRule="auto"/>
        <w:ind w:left="357"/>
        <w:contextualSpacing w:val="0"/>
        <w:rPr>
          <w:sz w:val="24"/>
          <w:szCs w:val="24"/>
        </w:rPr>
      </w:pPr>
      <w:r>
        <w:rPr>
          <w:sz w:val="24"/>
          <w:szCs w:val="24"/>
        </w:rPr>
        <w:t>BT4 3SH</w:t>
      </w:r>
    </w:p>
    <w:p w14:paraId="31C5B24B" w14:textId="77777777" w:rsidR="005F32EF" w:rsidRDefault="00896128">
      <w:pPr>
        <w:pStyle w:val="ListParagraph"/>
        <w:spacing w:after="0" w:line="240" w:lineRule="auto"/>
        <w:ind w:left="357"/>
        <w:contextualSpacing w:val="0"/>
        <w:rPr>
          <w:sz w:val="24"/>
          <w:szCs w:val="24"/>
        </w:rPr>
      </w:pPr>
      <w:r>
        <w:rPr>
          <w:sz w:val="24"/>
          <w:szCs w:val="24"/>
        </w:rPr>
        <w:t>Tel: 028 9052 7821</w:t>
      </w:r>
    </w:p>
    <w:p w14:paraId="0855C728" w14:textId="77777777" w:rsidR="005F32EF" w:rsidRDefault="00896128">
      <w:pPr>
        <w:pStyle w:val="ListParagraph"/>
        <w:spacing w:after="0" w:line="240" w:lineRule="auto"/>
        <w:ind w:left="357"/>
        <w:contextualSpacing w:val="0"/>
        <w:rPr>
          <w:sz w:val="24"/>
          <w:szCs w:val="24"/>
        </w:rPr>
      </w:pPr>
      <w:r>
        <w:rPr>
          <w:sz w:val="24"/>
          <w:szCs w:val="24"/>
        </w:rPr>
        <w:t xml:space="preserve">Email: </w:t>
      </w:r>
      <w:hyperlink r:id="rId11" w:history="1">
        <w:r w:rsidRPr="005708C0">
          <w:rPr>
            <w:rStyle w:val="Hyperlink"/>
            <w:sz w:val="24"/>
            <w:szCs w:val="24"/>
          </w:rPr>
          <w:t>contact@boundarycommission.org.uk</w:t>
        </w:r>
      </w:hyperlink>
    </w:p>
    <w:p w14:paraId="5DC61030" w14:textId="77777777" w:rsidR="005F32EF" w:rsidRDefault="00896128">
      <w:pPr>
        <w:pStyle w:val="ListParagraph"/>
        <w:spacing w:line="240" w:lineRule="auto"/>
        <w:ind w:left="357"/>
        <w:contextualSpacing w:val="0"/>
        <w:rPr>
          <w:sz w:val="24"/>
          <w:szCs w:val="24"/>
        </w:rPr>
      </w:pPr>
      <w:r>
        <w:rPr>
          <w:sz w:val="24"/>
          <w:szCs w:val="24"/>
        </w:rPr>
        <w:t xml:space="preserve">Web: </w:t>
      </w:r>
      <w:hyperlink r:id="rId12" w:history="1">
        <w:r w:rsidRPr="005708C0">
          <w:rPr>
            <w:rStyle w:val="Hyperlink"/>
            <w:sz w:val="24"/>
            <w:szCs w:val="24"/>
          </w:rPr>
          <w:t>www.boundarycommission.org.uk</w:t>
        </w:r>
      </w:hyperlink>
      <w:r>
        <w:rPr>
          <w:sz w:val="24"/>
          <w:szCs w:val="24"/>
        </w:rPr>
        <w:t xml:space="preserve"> </w:t>
      </w:r>
    </w:p>
    <w:p w14:paraId="1267E64B" w14:textId="0BDE68F3" w:rsidR="005F32EF" w:rsidRDefault="00C763F9" w:rsidP="00C763F9">
      <w:pPr>
        <w:pStyle w:val="Heading2"/>
      </w:pPr>
      <w:r>
        <w:t>Complaints</w:t>
      </w:r>
    </w:p>
    <w:p w14:paraId="45AAF08C" w14:textId="45818829" w:rsidR="00BA33C9" w:rsidRDefault="00D716FC" w:rsidP="00BA33C9">
      <w:pPr>
        <w:pStyle w:val="ListParagraph"/>
        <w:numPr>
          <w:ilvl w:val="0"/>
          <w:numId w:val="5"/>
        </w:numPr>
        <w:spacing w:line="240" w:lineRule="auto"/>
        <w:ind w:left="357"/>
        <w:contextualSpacing w:val="0"/>
        <w:rPr>
          <w:sz w:val="24"/>
          <w:szCs w:val="24"/>
        </w:rPr>
      </w:pPr>
      <w:r>
        <w:rPr>
          <w:sz w:val="24"/>
          <w:szCs w:val="24"/>
        </w:rPr>
        <w:t>If you are unhappy with our response to your request</w:t>
      </w:r>
      <w:r w:rsidR="00473017">
        <w:rPr>
          <w:sz w:val="24"/>
          <w:szCs w:val="24"/>
        </w:rPr>
        <w:t xml:space="preserve"> for information</w:t>
      </w:r>
      <w:r>
        <w:rPr>
          <w:sz w:val="24"/>
          <w:szCs w:val="24"/>
        </w:rPr>
        <w:t xml:space="preserve">, you can </w:t>
      </w:r>
      <w:r w:rsidR="00A65E36">
        <w:rPr>
          <w:sz w:val="24"/>
          <w:szCs w:val="24"/>
        </w:rPr>
        <w:t xml:space="preserve">raise this with the Commission in line with the </w:t>
      </w:r>
      <w:hyperlink r:id="rId13" w:history="1">
        <w:r w:rsidR="00A65E36" w:rsidRPr="00F50631">
          <w:rPr>
            <w:rStyle w:val="Hyperlink"/>
            <w:sz w:val="24"/>
            <w:szCs w:val="24"/>
          </w:rPr>
          <w:t>Complaints Policy</w:t>
        </w:r>
        <w:r w:rsidRPr="00F50631">
          <w:rPr>
            <w:rStyle w:val="Hyperlink"/>
            <w:sz w:val="24"/>
            <w:szCs w:val="24"/>
          </w:rPr>
          <w:t xml:space="preserve">. </w:t>
        </w:r>
      </w:hyperlink>
      <w:r>
        <w:rPr>
          <w:sz w:val="24"/>
          <w:szCs w:val="24"/>
        </w:rPr>
        <w:t xml:space="preserve"> </w:t>
      </w:r>
      <w:r w:rsidR="00473017">
        <w:rPr>
          <w:sz w:val="24"/>
          <w:szCs w:val="24"/>
        </w:rPr>
        <w:t>If you are still unhappy, in some circumstances, you may also be able to</w:t>
      </w:r>
      <w:r w:rsidR="00AA141B">
        <w:rPr>
          <w:sz w:val="24"/>
          <w:szCs w:val="24"/>
        </w:rPr>
        <w:t xml:space="preserve"> appeal to the </w:t>
      </w:r>
      <w:hyperlink r:id="rId14" w:history="1">
        <w:r w:rsidR="00B55EF5" w:rsidRPr="00907FC6">
          <w:rPr>
            <w:rStyle w:val="Hyperlink"/>
            <w:sz w:val="24"/>
            <w:szCs w:val="24"/>
          </w:rPr>
          <w:t xml:space="preserve">Information Commissioner. </w:t>
        </w:r>
      </w:hyperlink>
      <w:r w:rsidR="00B55EF5">
        <w:rPr>
          <w:sz w:val="24"/>
          <w:szCs w:val="24"/>
        </w:rPr>
        <w:t xml:space="preserve"> </w:t>
      </w:r>
    </w:p>
    <w:p w14:paraId="01546374" w14:textId="77777777" w:rsidR="00907FC6" w:rsidRDefault="00907FC6" w:rsidP="00EC3802">
      <w:pPr>
        <w:pStyle w:val="ListParagraph"/>
        <w:spacing w:after="120" w:line="240" w:lineRule="auto"/>
        <w:ind w:left="357"/>
        <w:contextualSpacing w:val="0"/>
      </w:pPr>
    </w:p>
    <w:p w14:paraId="49DB09CB" w14:textId="77777777" w:rsidR="005F32EF" w:rsidRDefault="00D26782" w:rsidP="00EC3802">
      <w:pPr>
        <w:pStyle w:val="ListParagraph"/>
        <w:spacing w:after="120" w:line="240" w:lineRule="auto"/>
        <w:ind w:left="357"/>
        <w:contextualSpacing w:val="0"/>
      </w:pPr>
      <w:r>
        <w:br w:type="page"/>
      </w:r>
    </w:p>
    <w:p w14:paraId="73138FE7" w14:textId="77777777" w:rsidR="005F32EF" w:rsidRDefault="00696F65">
      <w:pPr>
        <w:jc w:val="right"/>
        <w:rPr>
          <w:rFonts w:ascii="Calibri" w:hAnsi="Calibri"/>
          <w:b/>
          <w:sz w:val="28"/>
          <w:szCs w:val="24"/>
        </w:rPr>
      </w:pPr>
      <w:r w:rsidRPr="00696F65">
        <w:rPr>
          <w:rFonts w:ascii="Calibri" w:hAnsi="Calibri"/>
          <w:b/>
          <w:sz w:val="28"/>
          <w:szCs w:val="24"/>
        </w:rPr>
        <w:lastRenderedPageBreak/>
        <w:t>Annex A</w:t>
      </w:r>
    </w:p>
    <w:p w14:paraId="508484FB" w14:textId="77777777" w:rsidR="005F32EF" w:rsidRDefault="00696F65">
      <w:pPr>
        <w:spacing w:line="240" w:lineRule="auto"/>
        <w:rPr>
          <w:rFonts w:ascii="Calibri" w:hAnsi="Calibri"/>
          <w:b/>
          <w:sz w:val="28"/>
          <w:szCs w:val="24"/>
        </w:rPr>
      </w:pPr>
      <w:r w:rsidRPr="00696F65">
        <w:rPr>
          <w:rFonts w:ascii="Calibri" w:hAnsi="Calibri"/>
          <w:b/>
          <w:sz w:val="28"/>
          <w:szCs w:val="24"/>
        </w:rPr>
        <w:t>Information guide for the Boundary Commission for Northern Ireland</w:t>
      </w:r>
    </w:p>
    <w:p w14:paraId="06EE78F7" w14:textId="77777777" w:rsidR="005F32EF" w:rsidRDefault="00696F65">
      <w:pPr>
        <w:spacing w:line="240" w:lineRule="auto"/>
        <w:rPr>
          <w:rFonts w:ascii="Calibri" w:hAnsi="Calibri"/>
          <w:sz w:val="24"/>
          <w:szCs w:val="24"/>
        </w:rPr>
      </w:pPr>
      <w:r w:rsidRPr="00696F65">
        <w:rPr>
          <w:rFonts w:ascii="Calibri" w:hAnsi="Calibri"/>
          <w:sz w:val="24"/>
          <w:szCs w:val="24"/>
        </w:rPr>
        <w:t xml:space="preserve">This </w:t>
      </w:r>
      <w:r w:rsidR="006249B1">
        <w:rPr>
          <w:rFonts w:ascii="Calibri" w:hAnsi="Calibri"/>
          <w:sz w:val="24"/>
          <w:szCs w:val="24"/>
        </w:rPr>
        <w:t xml:space="preserve">information guide lists the information produced by the Boundary Commission for Northern Ireland that is available under each of the classes of information specified in the </w:t>
      </w:r>
      <w:r w:rsidR="00282426">
        <w:rPr>
          <w:rFonts w:ascii="Calibri" w:hAnsi="Calibri"/>
          <w:sz w:val="24"/>
          <w:szCs w:val="24"/>
        </w:rPr>
        <w:t xml:space="preserve">ICO’s </w:t>
      </w:r>
      <w:r w:rsidR="006249B1">
        <w:rPr>
          <w:rFonts w:ascii="Calibri" w:hAnsi="Calibri"/>
          <w:sz w:val="24"/>
          <w:szCs w:val="24"/>
        </w:rPr>
        <w:t>Model Publication Scheme.</w:t>
      </w:r>
    </w:p>
    <w:p w14:paraId="05A33ECD" w14:textId="77777777" w:rsidR="0072594C" w:rsidRPr="0072594C" w:rsidRDefault="0072594C">
      <w:pPr>
        <w:spacing w:line="240" w:lineRule="auto"/>
        <w:rPr>
          <w:rFonts w:ascii="Calibri" w:hAnsi="Calibri"/>
          <w:b/>
          <w:sz w:val="24"/>
          <w:szCs w:val="24"/>
        </w:rPr>
      </w:pPr>
      <w:r w:rsidRPr="0072594C">
        <w:rPr>
          <w:rFonts w:ascii="Calibri" w:hAnsi="Calibri"/>
          <w:b/>
          <w:sz w:val="24"/>
          <w:szCs w:val="24"/>
        </w:rPr>
        <w:t>Background</w:t>
      </w:r>
    </w:p>
    <w:p w14:paraId="62ACF23F" w14:textId="77777777" w:rsidR="0072594C" w:rsidRDefault="0072594C" w:rsidP="0072594C">
      <w:pPr>
        <w:autoSpaceDE w:val="0"/>
        <w:autoSpaceDN w:val="0"/>
        <w:adjustRightInd w:val="0"/>
        <w:spacing w:line="240" w:lineRule="auto"/>
        <w:rPr>
          <w:rFonts w:cs="ArialMT"/>
          <w:sz w:val="24"/>
          <w:szCs w:val="24"/>
        </w:rPr>
      </w:pPr>
      <w:r>
        <w:rPr>
          <w:rFonts w:cs="ArialMT"/>
          <w:sz w:val="24"/>
          <w:szCs w:val="24"/>
        </w:rPr>
        <w:t>The Model Publication S</w:t>
      </w:r>
      <w:r w:rsidRPr="00696F65">
        <w:rPr>
          <w:rFonts w:cs="ArialMT"/>
          <w:sz w:val="24"/>
          <w:szCs w:val="24"/>
        </w:rPr>
        <w:t xml:space="preserve">cheme commits </w:t>
      </w:r>
      <w:r>
        <w:rPr>
          <w:rFonts w:cs="ArialMT"/>
          <w:sz w:val="24"/>
          <w:szCs w:val="24"/>
        </w:rPr>
        <w:t>the Commission</w:t>
      </w:r>
      <w:r w:rsidRPr="00696F65">
        <w:rPr>
          <w:rFonts w:cs="ArialMT"/>
          <w:sz w:val="24"/>
          <w:szCs w:val="24"/>
        </w:rPr>
        <w:t xml:space="preserve"> to make information available to the</w:t>
      </w:r>
      <w:r>
        <w:rPr>
          <w:rFonts w:cs="ArialMT"/>
          <w:sz w:val="24"/>
          <w:szCs w:val="24"/>
        </w:rPr>
        <w:t xml:space="preserve"> </w:t>
      </w:r>
      <w:r w:rsidRPr="00696F65">
        <w:rPr>
          <w:rFonts w:cs="ArialMT"/>
          <w:sz w:val="24"/>
          <w:szCs w:val="24"/>
        </w:rPr>
        <w:t xml:space="preserve">public as part of </w:t>
      </w:r>
      <w:r>
        <w:rPr>
          <w:rFonts w:cs="ArialMT"/>
          <w:sz w:val="24"/>
          <w:szCs w:val="24"/>
        </w:rPr>
        <w:t>our</w:t>
      </w:r>
      <w:r w:rsidRPr="00696F65">
        <w:rPr>
          <w:rFonts w:cs="ArialMT"/>
          <w:sz w:val="24"/>
          <w:szCs w:val="24"/>
        </w:rPr>
        <w:t xml:space="preserve"> normal business activities. </w:t>
      </w:r>
      <w:r>
        <w:rPr>
          <w:rFonts w:cs="ArialMT"/>
          <w:sz w:val="24"/>
          <w:szCs w:val="24"/>
        </w:rPr>
        <w:t xml:space="preserve"> </w:t>
      </w:r>
      <w:r w:rsidRPr="00696F65">
        <w:rPr>
          <w:rFonts w:cs="ArialMT"/>
          <w:sz w:val="24"/>
          <w:szCs w:val="24"/>
        </w:rPr>
        <w:t>The information covered is included in</w:t>
      </w:r>
      <w:r>
        <w:rPr>
          <w:rFonts w:cs="ArialMT"/>
          <w:sz w:val="24"/>
          <w:szCs w:val="24"/>
        </w:rPr>
        <w:t xml:space="preserve"> </w:t>
      </w:r>
      <w:r w:rsidRPr="00696F65">
        <w:rPr>
          <w:rFonts w:cs="ArialMT"/>
          <w:sz w:val="24"/>
          <w:szCs w:val="24"/>
        </w:rPr>
        <w:t>the classes of information mentioned below, where this information is held by the</w:t>
      </w:r>
      <w:r>
        <w:rPr>
          <w:rFonts w:cs="ArialMT"/>
          <w:sz w:val="24"/>
          <w:szCs w:val="24"/>
        </w:rPr>
        <w:t xml:space="preserve"> Commission</w:t>
      </w:r>
      <w:r w:rsidRPr="00696F65">
        <w:rPr>
          <w:rFonts w:cs="ArialMT"/>
          <w:sz w:val="24"/>
          <w:szCs w:val="24"/>
        </w:rPr>
        <w:t xml:space="preserve">. </w:t>
      </w:r>
      <w:r>
        <w:rPr>
          <w:rFonts w:cs="ArialMT"/>
          <w:sz w:val="24"/>
          <w:szCs w:val="24"/>
        </w:rPr>
        <w:t xml:space="preserve"> </w:t>
      </w:r>
    </w:p>
    <w:p w14:paraId="1FD6486F" w14:textId="77777777" w:rsidR="0072594C" w:rsidRDefault="0072594C" w:rsidP="0072594C">
      <w:pPr>
        <w:autoSpaceDE w:val="0"/>
        <w:autoSpaceDN w:val="0"/>
        <w:adjustRightInd w:val="0"/>
        <w:spacing w:line="240" w:lineRule="auto"/>
        <w:rPr>
          <w:rFonts w:cs="ArialMT"/>
          <w:sz w:val="24"/>
          <w:szCs w:val="24"/>
        </w:rPr>
      </w:pPr>
      <w:r w:rsidRPr="00696F65">
        <w:rPr>
          <w:rFonts w:cs="ArialMT"/>
          <w:sz w:val="24"/>
          <w:szCs w:val="24"/>
        </w:rPr>
        <w:t xml:space="preserve">The scheme commits </w:t>
      </w:r>
      <w:r>
        <w:rPr>
          <w:rFonts w:cs="ArialMT"/>
          <w:sz w:val="24"/>
          <w:szCs w:val="24"/>
        </w:rPr>
        <w:t>the Commission</w:t>
      </w:r>
      <w:r w:rsidRPr="00696F65">
        <w:rPr>
          <w:rFonts w:cs="ArialMT"/>
          <w:sz w:val="24"/>
          <w:szCs w:val="24"/>
        </w:rPr>
        <w:t>:</w:t>
      </w:r>
    </w:p>
    <w:p w14:paraId="7AA5933A"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 xml:space="preserve">To proactively publish or otherwise make available as a matter of routine, information, including environmental information, which is held by the </w:t>
      </w:r>
      <w:r>
        <w:rPr>
          <w:rFonts w:cs="ArialMT"/>
          <w:sz w:val="24"/>
          <w:szCs w:val="24"/>
        </w:rPr>
        <w:t>Commission</w:t>
      </w:r>
      <w:r w:rsidRPr="00696F65">
        <w:rPr>
          <w:rFonts w:cs="ArialMT"/>
          <w:sz w:val="24"/>
          <w:szCs w:val="24"/>
        </w:rPr>
        <w:t xml:space="preserve"> and falls within the classifications below.</w:t>
      </w:r>
    </w:p>
    <w:p w14:paraId="3D0E0E28"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 xml:space="preserve">To specify the information which is held by </w:t>
      </w:r>
      <w:r>
        <w:rPr>
          <w:rFonts w:cs="ArialMT"/>
          <w:sz w:val="24"/>
          <w:szCs w:val="24"/>
        </w:rPr>
        <w:t>us</w:t>
      </w:r>
      <w:r w:rsidRPr="00696F65">
        <w:rPr>
          <w:rFonts w:cs="ArialMT"/>
          <w:sz w:val="24"/>
          <w:szCs w:val="24"/>
        </w:rPr>
        <w:t xml:space="preserve"> and falls within the classifications below.</w:t>
      </w:r>
    </w:p>
    <w:p w14:paraId="5F41F88F"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To proactively publish or otherwise make available as a matter of routine,</w:t>
      </w:r>
      <w:r>
        <w:rPr>
          <w:rFonts w:cs="ArialMT"/>
          <w:sz w:val="24"/>
          <w:szCs w:val="24"/>
        </w:rPr>
        <w:t xml:space="preserve"> </w:t>
      </w:r>
      <w:r w:rsidRPr="00696F65">
        <w:rPr>
          <w:rFonts w:cs="ArialMT"/>
          <w:sz w:val="24"/>
          <w:szCs w:val="24"/>
        </w:rPr>
        <w:t>information in line with the statements contained within th</w:t>
      </w:r>
      <w:r>
        <w:rPr>
          <w:rFonts w:cs="ArialMT"/>
          <w:sz w:val="24"/>
          <w:szCs w:val="24"/>
        </w:rPr>
        <w:t>e</w:t>
      </w:r>
      <w:r w:rsidRPr="00696F65">
        <w:rPr>
          <w:rFonts w:cs="ArialMT"/>
          <w:sz w:val="24"/>
          <w:szCs w:val="24"/>
        </w:rPr>
        <w:t xml:space="preserve"> scheme.</w:t>
      </w:r>
    </w:p>
    <w:p w14:paraId="00E97299"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To produce and publish the methods by which the specific information is made routinely available so that it can be easily identified and accessed by members of the public.</w:t>
      </w:r>
    </w:p>
    <w:p w14:paraId="16DE1999"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 xml:space="preserve">To review and update on a regular basis the information </w:t>
      </w:r>
      <w:r>
        <w:rPr>
          <w:rFonts w:cs="ArialMT"/>
          <w:sz w:val="24"/>
          <w:szCs w:val="24"/>
        </w:rPr>
        <w:t>we</w:t>
      </w:r>
      <w:r w:rsidRPr="00696F65">
        <w:rPr>
          <w:rFonts w:cs="ArialMT"/>
          <w:sz w:val="24"/>
          <w:szCs w:val="24"/>
        </w:rPr>
        <w:t xml:space="preserve"> make available under this scheme.</w:t>
      </w:r>
    </w:p>
    <w:p w14:paraId="6188B708" w14:textId="77777777" w:rsidR="0072594C" w:rsidRDefault="0072594C" w:rsidP="0072594C">
      <w:pPr>
        <w:pStyle w:val="ListParagraph"/>
        <w:numPr>
          <w:ilvl w:val="0"/>
          <w:numId w:val="6"/>
        </w:numPr>
        <w:autoSpaceDE w:val="0"/>
        <w:autoSpaceDN w:val="0"/>
        <w:adjustRightInd w:val="0"/>
        <w:spacing w:after="120" w:line="240" w:lineRule="auto"/>
        <w:ind w:left="714" w:hanging="357"/>
        <w:contextualSpacing w:val="0"/>
        <w:rPr>
          <w:rFonts w:cs="ArialMT"/>
          <w:sz w:val="24"/>
          <w:szCs w:val="24"/>
        </w:rPr>
      </w:pPr>
      <w:r w:rsidRPr="00696F65">
        <w:rPr>
          <w:rFonts w:cs="ArialMT"/>
          <w:sz w:val="24"/>
          <w:szCs w:val="24"/>
        </w:rPr>
        <w:t>To produce a schedule of any fees charged for access to information which is made proactively available.</w:t>
      </w:r>
    </w:p>
    <w:p w14:paraId="54E298F1" w14:textId="77777777" w:rsidR="0072594C" w:rsidRDefault="0072594C" w:rsidP="0072594C">
      <w:pPr>
        <w:pStyle w:val="ListParagraph"/>
        <w:numPr>
          <w:ilvl w:val="0"/>
          <w:numId w:val="6"/>
        </w:numPr>
        <w:autoSpaceDE w:val="0"/>
        <w:autoSpaceDN w:val="0"/>
        <w:adjustRightInd w:val="0"/>
        <w:spacing w:line="240" w:lineRule="auto"/>
        <w:rPr>
          <w:rFonts w:cs="ArialMT"/>
          <w:sz w:val="24"/>
          <w:szCs w:val="24"/>
        </w:rPr>
      </w:pPr>
      <w:r w:rsidRPr="00696F65">
        <w:rPr>
          <w:rFonts w:cs="ArialMT"/>
          <w:sz w:val="24"/>
          <w:szCs w:val="24"/>
        </w:rPr>
        <w:t>To make this publication scheme available to the public.</w:t>
      </w:r>
    </w:p>
    <w:p w14:paraId="5691A952" w14:textId="77777777" w:rsidR="00E65BC1" w:rsidRDefault="00E65BC1" w:rsidP="00930F3B">
      <w:pPr>
        <w:spacing w:before="360" w:after="0" w:line="240" w:lineRule="auto"/>
        <w:rPr>
          <w:rFonts w:ascii="Calibri" w:hAnsi="Calibri"/>
          <w:sz w:val="24"/>
          <w:szCs w:val="24"/>
        </w:rPr>
      </w:pPr>
    </w:p>
    <w:p w14:paraId="2D199C8F" w14:textId="77777777" w:rsidR="00E65BC1" w:rsidRDefault="00E65BC1" w:rsidP="00930F3B">
      <w:pPr>
        <w:spacing w:before="360" w:after="0" w:line="240" w:lineRule="auto"/>
        <w:rPr>
          <w:rFonts w:ascii="Calibri" w:hAnsi="Calibri"/>
          <w:sz w:val="24"/>
          <w:szCs w:val="24"/>
        </w:rPr>
      </w:pPr>
    </w:p>
    <w:p w14:paraId="4A97F7C2" w14:textId="77777777" w:rsidR="00E65BC1" w:rsidRDefault="00E65BC1" w:rsidP="00930F3B">
      <w:pPr>
        <w:spacing w:before="360" w:after="0" w:line="240" w:lineRule="auto"/>
        <w:rPr>
          <w:rFonts w:ascii="Calibri" w:hAnsi="Calibri"/>
          <w:sz w:val="24"/>
          <w:szCs w:val="24"/>
        </w:rPr>
      </w:pPr>
    </w:p>
    <w:p w14:paraId="4308B733" w14:textId="77777777" w:rsidR="00E65BC1" w:rsidRDefault="00E65BC1" w:rsidP="00930F3B">
      <w:pPr>
        <w:spacing w:before="360" w:after="0" w:line="240" w:lineRule="auto"/>
        <w:rPr>
          <w:rFonts w:ascii="Calibri" w:hAnsi="Calibri"/>
          <w:sz w:val="24"/>
          <w:szCs w:val="24"/>
        </w:rPr>
      </w:pPr>
    </w:p>
    <w:p w14:paraId="406904AE" w14:textId="77777777" w:rsidR="00E65BC1" w:rsidRDefault="00E65BC1" w:rsidP="00930F3B">
      <w:pPr>
        <w:spacing w:before="360" w:after="0" w:line="240" w:lineRule="auto"/>
        <w:rPr>
          <w:rFonts w:ascii="Calibri" w:hAnsi="Calibri"/>
          <w:sz w:val="24"/>
          <w:szCs w:val="24"/>
        </w:rPr>
      </w:pPr>
    </w:p>
    <w:p w14:paraId="17E5694B" w14:textId="77777777" w:rsidR="00E65BC1" w:rsidRDefault="00E65BC1" w:rsidP="00930F3B">
      <w:pPr>
        <w:spacing w:before="360" w:after="0" w:line="240" w:lineRule="auto"/>
        <w:rPr>
          <w:rFonts w:ascii="Calibri" w:hAnsi="Calibri"/>
          <w:sz w:val="24"/>
          <w:szCs w:val="24"/>
        </w:rPr>
      </w:pPr>
    </w:p>
    <w:p w14:paraId="5705332B" w14:textId="77777777" w:rsidR="00E65BC1" w:rsidRDefault="00E65BC1" w:rsidP="00930F3B">
      <w:pPr>
        <w:spacing w:before="360" w:after="0" w:line="240" w:lineRule="auto"/>
        <w:rPr>
          <w:rFonts w:ascii="Calibri" w:hAnsi="Calibri"/>
          <w:sz w:val="24"/>
          <w:szCs w:val="24"/>
        </w:rPr>
      </w:pPr>
    </w:p>
    <w:p w14:paraId="65772A57" w14:textId="77777777" w:rsidR="00930F3B" w:rsidRDefault="00930F3B" w:rsidP="00930F3B">
      <w:pPr>
        <w:spacing w:before="360" w:after="0" w:line="240" w:lineRule="auto"/>
        <w:rPr>
          <w:rFonts w:ascii="Calibri" w:hAnsi="Calibri"/>
          <w:b/>
          <w:sz w:val="28"/>
          <w:szCs w:val="24"/>
        </w:rPr>
      </w:pPr>
      <w:r w:rsidRPr="00696F65">
        <w:rPr>
          <w:rFonts w:ascii="Calibri" w:hAnsi="Calibri"/>
          <w:b/>
          <w:sz w:val="28"/>
          <w:szCs w:val="24"/>
        </w:rPr>
        <w:lastRenderedPageBreak/>
        <w:t>Who we are and what we do</w:t>
      </w:r>
    </w:p>
    <w:p w14:paraId="27A03961" w14:textId="77777777" w:rsidR="00930F3B" w:rsidRDefault="00930F3B" w:rsidP="00930F3B">
      <w:pPr>
        <w:spacing w:line="240" w:lineRule="auto"/>
        <w:rPr>
          <w:rFonts w:ascii="Calibri" w:hAnsi="Calibri"/>
          <w:i/>
          <w:sz w:val="24"/>
          <w:szCs w:val="24"/>
        </w:rPr>
      </w:pPr>
      <w:r w:rsidRPr="00696F65">
        <w:rPr>
          <w:rFonts w:ascii="Calibri" w:hAnsi="Calibri"/>
          <w:i/>
          <w:sz w:val="24"/>
          <w:szCs w:val="24"/>
        </w:rPr>
        <w:t>Organisational information, locations and contacts, constitutional and legal governance.</w:t>
      </w:r>
    </w:p>
    <w:p w14:paraId="48C5F5AF" w14:textId="77777777" w:rsidR="00930F3B" w:rsidRDefault="00930F3B" w:rsidP="00930F3B">
      <w:pPr>
        <w:pStyle w:val="ListParagraph"/>
        <w:numPr>
          <w:ilvl w:val="0"/>
          <w:numId w:val="9"/>
        </w:numPr>
        <w:spacing w:after="120" w:line="240" w:lineRule="auto"/>
        <w:ind w:left="357" w:hanging="357"/>
        <w:contextualSpacing w:val="0"/>
        <w:rPr>
          <w:rFonts w:ascii="Calibri" w:hAnsi="Calibri"/>
          <w:sz w:val="24"/>
        </w:rPr>
      </w:pPr>
      <w:r>
        <w:rPr>
          <w:rFonts w:ascii="Calibri" w:hAnsi="Calibri"/>
          <w:sz w:val="24"/>
        </w:rPr>
        <w:t xml:space="preserve">Information </w:t>
      </w:r>
      <w:r w:rsidRPr="00696F65">
        <w:rPr>
          <w:rFonts w:ascii="Calibri" w:hAnsi="Calibri"/>
          <w:sz w:val="24"/>
        </w:rPr>
        <w:t xml:space="preserve"> </w:t>
      </w:r>
      <w:r>
        <w:rPr>
          <w:rFonts w:ascii="Calibri" w:hAnsi="Calibri"/>
          <w:sz w:val="24"/>
        </w:rPr>
        <w:t xml:space="preserve">about the Commission’s Membership </w:t>
      </w:r>
    </w:p>
    <w:p w14:paraId="6D6F244C" w14:textId="77777777" w:rsidR="00930F3B" w:rsidRPr="00930F3B" w:rsidRDefault="00930F3B" w:rsidP="00930F3B">
      <w:pPr>
        <w:pStyle w:val="ListParagraph"/>
        <w:numPr>
          <w:ilvl w:val="0"/>
          <w:numId w:val="9"/>
        </w:numPr>
        <w:spacing w:before="360" w:after="0" w:line="240" w:lineRule="auto"/>
        <w:rPr>
          <w:rFonts w:ascii="Calibri" w:hAnsi="Calibri"/>
          <w:sz w:val="28"/>
        </w:rPr>
      </w:pPr>
      <w:r w:rsidRPr="003018E6">
        <w:rPr>
          <w:rFonts w:ascii="Calibri" w:hAnsi="Calibri"/>
          <w:sz w:val="24"/>
        </w:rPr>
        <w:t xml:space="preserve">The Commission’s </w:t>
      </w:r>
      <w:r>
        <w:rPr>
          <w:rFonts w:ascii="Calibri" w:hAnsi="Calibri"/>
          <w:sz w:val="24"/>
        </w:rPr>
        <w:t>postal address, email address and phone number</w:t>
      </w:r>
    </w:p>
    <w:p w14:paraId="12BAC8D4" w14:textId="77777777" w:rsidR="00930F3B" w:rsidRPr="00A41618" w:rsidRDefault="00930F3B" w:rsidP="00930F3B">
      <w:pPr>
        <w:pStyle w:val="ListParagraph"/>
        <w:spacing w:before="360" w:after="0" w:line="240" w:lineRule="auto"/>
        <w:ind w:left="360"/>
        <w:rPr>
          <w:rFonts w:ascii="Calibri" w:hAnsi="Calibri"/>
          <w:sz w:val="28"/>
        </w:rPr>
      </w:pPr>
    </w:p>
    <w:p w14:paraId="63838712" w14:textId="77777777" w:rsidR="00930F3B" w:rsidRDefault="00930F3B" w:rsidP="00930F3B">
      <w:pPr>
        <w:pStyle w:val="ListParagraph"/>
        <w:numPr>
          <w:ilvl w:val="0"/>
          <w:numId w:val="9"/>
        </w:numPr>
        <w:spacing w:after="120" w:line="240" w:lineRule="auto"/>
        <w:ind w:left="357" w:hanging="357"/>
        <w:contextualSpacing w:val="0"/>
        <w:rPr>
          <w:rFonts w:ascii="Calibri" w:hAnsi="Calibri"/>
          <w:sz w:val="24"/>
        </w:rPr>
      </w:pPr>
      <w:r w:rsidRPr="00696F65">
        <w:rPr>
          <w:rFonts w:ascii="Calibri" w:hAnsi="Calibri"/>
          <w:sz w:val="24"/>
        </w:rPr>
        <w:t>L</w:t>
      </w:r>
      <w:r>
        <w:rPr>
          <w:rFonts w:ascii="Calibri" w:hAnsi="Calibri"/>
          <w:sz w:val="24"/>
        </w:rPr>
        <w:t>inks to the relevant legislation:</w:t>
      </w:r>
    </w:p>
    <w:p w14:paraId="47E19C66" w14:textId="77777777" w:rsidR="00930F3B" w:rsidRDefault="00930F3B" w:rsidP="000B270A">
      <w:pPr>
        <w:pStyle w:val="ListParagraph"/>
        <w:numPr>
          <w:ilvl w:val="0"/>
          <w:numId w:val="14"/>
        </w:numPr>
        <w:spacing w:line="240" w:lineRule="auto"/>
        <w:rPr>
          <w:rFonts w:ascii="Calibri" w:hAnsi="Calibri"/>
          <w:sz w:val="24"/>
        </w:rPr>
      </w:pPr>
      <w:r w:rsidRPr="003018E6">
        <w:rPr>
          <w:rFonts w:ascii="Calibri" w:hAnsi="Calibri"/>
          <w:sz w:val="24"/>
        </w:rPr>
        <w:t>Parliamentary Constituencies Act 1986 (as amended)</w:t>
      </w:r>
    </w:p>
    <w:p w14:paraId="3539CD3F" w14:textId="77777777" w:rsidR="00930F3B" w:rsidRPr="003018E6" w:rsidRDefault="00930F3B" w:rsidP="000B270A">
      <w:pPr>
        <w:pStyle w:val="ListParagraph"/>
        <w:numPr>
          <w:ilvl w:val="0"/>
          <w:numId w:val="14"/>
        </w:numPr>
        <w:spacing w:line="240" w:lineRule="auto"/>
        <w:rPr>
          <w:rFonts w:ascii="Calibri" w:hAnsi="Calibri"/>
          <w:sz w:val="24"/>
        </w:rPr>
      </w:pPr>
      <w:r w:rsidRPr="003018E6">
        <w:rPr>
          <w:rFonts w:ascii="Calibri" w:hAnsi="Calibri"/>
          <w:sz w:val="24"/>
        </w:rPr>
        <w:t xml:space="preserve">Boundary Commission Act 1992 </w:t>
      </w:r>
    </w:p>
    <w:p w14:paraId="0583BBB6" w14:textId="77777777" w:rsidR="00930F3B" w:rsidRDefault="00930F3B" w:rsidP="000B270A">
      <w:pPr>
        <w:pStyle w:val="ListParagraph"/>
        <w:numPr>
          <w:ilvl w:val="0"/>
          <w:numId w:val="14"/>
        </w:numPr>
        <w:spacing w:line="240" w:lineRule="auto"/>
        <w:rPr>
          <w:rFonts w:ascii="Calibri" w:hAnsi="Calibri"/>
          <w:sz w:val="24"/>
        </w:rPr>
      </w:pPr>
      <w:r w:rsidRPr="00696F65">
        <w:rPr>
          <w:rFonts w:ascii="Calibri" w:hAnsi="Calibri"/>
          <w:sz w:val="24"/>
        </w:rPr>
        <w:t>Parliamentary Voting System and Constituencies Act 2011</w:t>
      </w:r>
    </w:p>
    <w:p w14:paraId="3B72E389" w14:textId="74AD3585" w:rsidR="000115CE" w:rsidRPr="000115CE" w:rsidRDefault="000115CE" w:rsidP="000115CE">
      <w:pPr>
        <w:pStyle w:val="ListParagraph"/>
        <w:numPr>
          <w:ilvl w:val="0"/>
          <w:numId w:val="14"/>
        </w:numPr>
        <w:spacing w:line="240" w:lineRule="auto"/>
        <w:rPr>
          <w:rFonts w:ascii="Calibri" w:hAnsi="Calibri"/>
          <w:sz w:val="24"/>
        </w:rPr>
      </w:pPr>
      <w:r w:rsidRPr="000115CE">
        <w:rPr>
          <w:rFonts w:ascii="Calibri" w:hAnsi="Calibri"/>
          <w:sz w:val="24"/>
        </w:rPr>
        <w:t>Amendments in green made by the Electoral Registration and Administration Act 2013</w:t>
      </w:r>
    </w:p>
    <w:p w14:paraId="29C4F615" w14:textId="77777777" w:rsidR="00930F3B" w:rsidRDefault="00930F3B" w:rsidP="000B270A">
      <w:pPr>
        <w:pStyle w:val="ListParagraph"/>
        <w:numPr>
          <w:ilvl w:val="0"/>
          <w:numId w:val="14"/>
        </w:numPr>
        <w:spacing w:line="240" w:lineRule="auto"/>
        <w:rPr>
          <w:rFonts w:ascii="Calibri" w:hAnsi="Calibri"/>
          <w:sz w:val="24"/>
        </w:rPr>
      </w:pPr>
      <w:r>
        <w:rPr>
          <w:rFonts w:ascii="Calibri" w:hAnsi="Calibri"/>
          <w:sz w:val="24"/>
        </w:rPr>
        <w:t>Parliamentary Constituencies Act 2020</w:t>
      </w:r>
    </w:p>
    <w:p w14:paraId="0421499E" w14:textId="77777777" w:rsidR="00930F3B" w:rsidRPr="00C52EE1" w:rsidRDefault="00930F3B" w:rsidP="00930F3B">
      <w:pPr>
        <w:pStyle w:val="ListParagraph"/>
        <w:spacing w:line="240" w:lineRule="auto"/>
        <w:ind w:left="851"/>
        <w:rPr>
          <w:rFonts w:ascii="Calibri" w:hAnsi="Calibri"/>
          <w:sz w:val="24"/>
        </w:rPr>
      </w:pPr>
    </w:p>
    <w:p w14:paraId="0C11D88A" w14:textId="77777777" w:rsidR="00930F3B" w:rsidRPr="00FC7276" w:rsidRDefault="00930F3B" w:rsidP="00FC7276">
      <w:pPr>
        <w:spacing w:before="360" w:after="0" w:line="240" w:lineRule="auto"/>
        <w:rPr>
          <w:rFonts w:ascii="Calibri" w:hAnsi="Calibri"/>
          <w:sz w:val="28"/>
        </w:rPr>
      </w:pPr>
      <w:r w:rsidRPr="00FC7276">
        <w:rPr>
          <w:rFonts w:ascii="Calibri" w:hAnsi="Calibri"/>
          <w:b/>
          <w:sz w:val="28"/>
        </w:rPr>
        <w:t>What we spend and how we spend it</w:t>
      </w:r>
    </w:p>
    <w:p w14:paraId="23ACEB12" w14:textId="77777777" w:rsidR="00930F3B" w:rsidRDefault="00930F3B" w:rsidP="00930F3B">
      <w:pPr>
        <w:spacing w:line="240" w:lineRule="auto"/>
        <w:rPr>
          <w:rFonts w:ascii="Calibri" w:hAnsi="Calibri"/>
          <w:i/>
          <w:sz w:val="24"/>
          <w:szCs w:val="24"/>
        </w:rPr>
      </w:pPr>
      <w:r w:rsidRPr="00696F65">
        <w:rPr>
          <w:rFonts w:ascii="Calibri" w:hAnsi="Calibri"/>
          <w:i/>
          <w:sz w:val="24"/>
          <w:szCs w:val="24"/>
        </w:rPr>
        <w:t>Financial information relating to projected and actual income and expenditure, tendering, procurement and contracts.</w:t>
      </w:r>
    </w:p>
    <w:p w14:paraId="3BC2C936" w14:textId="77777777" w:rsidR="00930F3B" w:rsidRDefault="00930F3B" w:rsidP="00930F3B">
      <w:pPr>
        <w:pStyle w:val="ListParagraph"/>
        <w:numPr>
          <w:ilvl w:val="0"/>
          <w:numId w:val="10"/>
        </w:numPr>
        <w:spacing w:line="240" w:lineRule="auto"/>
        <w:rPr>
          <w:rFonts w:ascii="Calibri" w:hAnsi="Calibri"/>
          <w:sz w:val="24"/>
        </w:rPr>
      </w:pPr>
      <w:r>
        <w:rPr>
          <w:rFonts w:ascii="Calibri" w:hAnsi="Calibri"/>
          <w:sz w:val="24"/>
        </w:rPr>
        <w:t>Annual Reports include information on Commission’s budget and expenditure.</w:t>
      </w:r>
    </w:p>
    <w:p w14:paraId="3AADF4E2" w14:textId="77777777" w:rsidR="00930F3B" w:rsidRDefault="00930F3B" w:rsidP="00930F3B">
      <w:pPr>
        <w:spacing w:before="360" w:after="0" w:line="240" w:lineRule="auto"/>
        <w:rPr>
          <w:rFonts w:ascii="Calibri" w:hAnsi="Calibri"/>
          <w:b/>
          <w:sz w:val="28"/>
          <w:szCs w:val="24"/>
        </w:rPr>
      </w:pPr>
      <w:r w:rsidRPr="00696F65">
        <w:rPr>
          <w:rFonts w:ascii="Calibri" w:hAnsi="Calibri"/>
          <w:b/>
          <w:sz w:val="28"/>
          <w:szCs w:val="24"/>
        </w:rPr>
        <w:t>What are our priorities and how are we doing</w:t>
      </w:r>
    </w:p>
    <w:p w14:paraId="3E985AE4" w14:textId="77777777" w:rsidR="00930F3B" w:rsidRPr="008B727F" w:rsidRDefault="00930F3B" w:rsidP="00930F3B">
      <w:pPr>
        <w:spacing w:line="240" w:lineRule="auto"/>
        <w:rPr>
          <w:rFonts w:ascii="Calibri" w:hAnsi="Calibri"/>
          <w:i/>
          <w:sz w:val="24"/>
          <w:szCs w:val="24"/>
        </w:rPr>
      </w:pPr>
      <w:r w:rsidRPr="00696F65">
        <w:rPr>
          <w:rFonts w:ascii="Calibri" w:hAnsi="Calibri"/>
          <w:i/>
          <w:sz w:val="24"/>
          <w:szCs w:val="24"/>
        </w:rPr>
        <w:t>Strategy and performance information, plans, assessments, inspections and reviews.</w:t>
      </w:r>
    </w:p>
    <w:p w14:paraId="75E3C008" w14:textId="77777777" w:rsidR="00930F3B" w:rsidRDefault="00930F3B" w:rsidP="00930F3B">
      <w:pPr>
        <w:pStyle w:val="ListParagraph"/>
        <w:numPr>
          <w:ilvl w:val="0"/>
          <w:numId w:val="10"/>
        </w:numPr>
        <w:spacing w:after="120" w:line="240" w:lineRule="auto"/>
        <w:ind w:left="357" w:hanging="357"/>
        <w:contextualSpacing w:val="0"/>
        <w:rPr>
          <w:rFonts w:ascii="Calibri" w:hAnsi="Calibri"/>
          <w:sz w:val="24"/>
        </w:rPr>
      </w:pPr>
      <w:r>
        <w:rPr>
          <w:rFonts w:ascii="Calibri" w:hAnsi="Calibri"/>
          <w:sz w:val="24"/>
        </w:rPr>
        <w:t>Annual reports</w:t>
      </w:r>
    </w:p>
    <w:p w14:paraId="3D4ADFA1" w14:textId="77777777" w:rsidR="00930F3B" w:rsidRDefault="00930F3B" w:rsidP="00930F3B">
      <w:pPr>
        <w:pStyle w:val="ListParagraph"/>
        <w:numPr>
          <w:ilvl w:val="0"/>
          <w:numId w:val="10"/>
        </w:numPr>
        <w:spacing w:after="120" w:line="240" w:lineRule="auto"/>
        <w:ind w:left="357" w:hanging="357"/>
        <w:contextualSpacing w:val="0"/>
        <w:rPr>
          <w:rFonts w:ascii="Calibri" w:hAnsi="Calibri"/>
          <w:sz w:val="24"/>
        </w:rPr>
      </w:pPr>
      <w:r>
        <w:rPr>
          <w:rFonts w:ascii="Calibri" w:hAnsi="Calibri"/>
          <w:sz w:val="24"/>
        </w:rPr>
        <w:t>Periodic progress reports which the Commission is required to submit to the Speaker of the House of Commons in each relevant January during active Review</w:t>
      </w:r>
    </w:p>
    <w:p w14:paraId="7C71EC8A" w14:textId="25B92C5E" w:rsidR="00930F3B" w:rsidRDefault="00930F3B" w:rsidP="00930F3B">
      <w:pPr>
        <w:pStyle w:val="ListParagraph"/>
        <w:numPr>
          <w:ilvl w:val="0"/>
          <w:numId w:val="10"/>
        </w:numPr>
        <w:spacing w:after="120" w:line="240" w:lineRule="auto"/>
        <w:ind w:left="357" w:hanging="357"/>
        <w:contextualSpacing w:val="0"/>
        <w:rPr>
          <w:rFonts w:ascii="Calibri" w:hAnsi="Calibri"/>
          <w:sz w:val="24"/>
        </w:rPr>
      </w:pPr>
      <w:r>
        <w:rPr>
          <w:rFonts w:ascii="Calibri" w:hAnsi="Calibri"/>
          <w:sz w:val="24"/>
        </w:rPr>
        <w:t>Information and news about</w:t>
      </w:r>
      <w:r w:rsidRPr="00696F65">
        <w:rPr>
          <w:rFonts w:ascii="Calibri" w:hAnsi="Calibri"/>
          <w:sz w:val="24"/>
        </w:rPr>
        <w:t xml:space="preserve"> </w:t>
      </w:r>
      <w:r w:rsidR="000115CE">
        <w:rPr>
          <w:rFonts w:ascii="Calibri" w:hAnsi="Calibri"/>
          <w:sz w:val="24"/>
        </w:rPr>
        <w:t xml:space="preserve">any </w:t>
      </w:r>
      <w:r w:rsidRPr="00696F65">
        <w:rPr>
          <w:rFonts w:ascii="Calibri" w:hAnsi="Calibri"/>
          <w:sz w:val="24"/>
        </w:rPr>
        <w:t>current review</w:t>
      </w:r>
    </w:p>
    <w:p w14:paraId="398C6E28" w14:textId="77777777" w:rsidR="00930F3B" w:rsidRDefault="00930F3B" w:rsidP="00930F3B">
      <w:pPr>
        <w:spacing w:before="360" w:after="0" w:line="240" w:lineRule="auto"/>
        <w:rPr>
          <w:rFonts w:ascii="Calibri" w:hAnsi="Calibri"/>
          <w:b/>
          <w:sz w:val="28"/>
          <w:szCs w:val="24"/>
        </w:rPr>
      </w:pPr>
      <w:r w:rsidRPr="00696F65">
        <w:rPr>
          <w:rFonts w:ascii="Calibri" w:hAnsi="Calibri"/>
          <w:b/>
          <w:sz w:val="28"/>
          <w:szCs w:val="24"/>
        </w:rPr>
        <w:t>How we make decisions</w:t>
      </w:r>
    </w:p>
    <w:p w14:paraId="5B6AD078" w14:textId="77777777" w:rsidR="00930F3B" w:rsidRDefault="00930F3B" w:rsidP="00930F3B">
      <w:pPr>
        <w:spacing w:line="240" w:lineRule="auto"/>
        <w:rPr>
          <w:rFonts w:cs="ArialMT"/>
          <w:i/>
          <w:sz w:val="24"/>
          <w:szCs w:val="24"/>
        </w:rPr>
      </w:pPr>
      <w:r w:rsidRPr="00696F65">
        <w:rPr>
          <w:rFonts w:cs="ArialMT"/>
          <w:i/>
          <w:sz w:val="24"/>
          <w:szCs w:val="24"/>
        </w:rPr>
        <w:t>Policy proposals and decisions.  Decision making processes, internal criteria and procedures, consultations.</w:t>
      </w:r>
    </w:p>
    <w:p w14:paraId="2BCC6090" w14:textId="16E88D8A" w:rsidR="00930F3B" w:rsidRDefault="00930F3B" w:rsidP="00930F3B">
      <w:pPr>
        <w:pStyle w:val="ListParagraph"/>
        <w:numPr>
          <w:ilvl w:val="0"/>
          <w:numId w:val="11"/>
        </w:numPr>
        <w:spacing w:after="120" w:line="240" w:lineRule="auto"/>
        <w:ind w:left="357" w:hanging="357"/>
        <w:contextualSpacing w:val="0"/>
        <w:rPr>
          <w:rFonts w:ascii="Calibri" w:hAnsi="Calibri"/>
          <w:sz w:val="24"/>
        </w:rPr>
      </w:pPr>
      <w:r w:rsidRPr="00696F65">
        <w:rPr>
          <w:rFonts w:ascii="Calibri" w:hAnsi="Calibri"/>
          <w:sz w:val="24"/>
        </w:rPr>
        <w:t xml:space="preserve">Information </w:t>
      </w:r>
      <w:r>
        <w:rPr>
          <w:rFonts w:ascii="Calibri" w:hAnsi="Calibri"/>
          <w:sz w:val="24"/>
        </w:rPr>
        <w:t xml:space="preserve">and press releases </w:t>
      </w:r>
      <w:r w:rsidRPr="00696F65">
        <w:rPr>
          <w:rFonts w:ascii="Calibri" w:hAnsi="Calibri"/>
          <w:sz w:val="24"/>
        </w:rPr>
        <w:t>regarding the current</w:t>
      </w:r>
      <w:r>
        <w:rPr>
          <w:rFonts w:ascii="Calibri" w:hAnsi="Calibri"/>
          <w:sz w:val="24"/>
        </w:rPr>
        <w:t xml:space="preserve"> </w:t>
      </w:r>
      <w:r w:rsidR="000115CE">
        <w:rPr>
          <w:rFonts w:ascii="Calibri" w:hAnsi="Calibri"/>
          <w:sz w:val="24"/>
        </w:rPr>
        <w:t>r</w:t>
      </w:r>
      <w:r>
        <w:rPr>
          <w:rFonts w:ascii="Calibri" w:hAnsi="Calibri"/>
          <w:sz w:val="24"/>
        </w:rPr>
        <w:t>eview, including</w:t>
      </w:r>
      <w:r w:rsidRPr="00696F65">
        <w:rPr>
          <w:rFonts w:ascii="Calibri" w:hAnsi="Calibri"/>
          <w:sz w:val="24"/>
        </w:rPr>
        <w:t xml:space="preserve"> proposals and associated maps.  </w:t>
      </w:r>
    </w:p>
    <w:p w14:paraId="5AA14D67" w14:textId="77777777" w:rsidR="00930F3B" w:rsidRDefault="00930F3B" w:rsidP="00930F3B">
      <w:pPr>
        <w:pStyle w:val="ListParagraph"/>
        <w:numPr>
          <w:ilvl w:val="0"/>
          <w:numId w:val="11"/>
        </w:numPr>
        <w:spacing w:after="120" w:line="240" w:lineRule="auto"/>
        <w:ind w:left="357" w:hanging="357"/>
        <w:contextualSpacing w:val="0"/>
        <w:rPr>
          <w:rFonts w:ascii="Calibri" w:hAnsi="Calibri"/>
          <w:sz w:val="24"/>
        </w:rPr>
      </w:pPr>
      <w:r>
        <w:rPr>
          <w:rFonts w:ascii="Calibri" w:hAnsi="Calibri"/>
          <w:sz w:val="24"/>
        </w:rPr>
        <w:t>Information about public consultations, including how you can participate</w:t>
      </w:r>
      <w:r w:rsidRPr="00BA33C9">
        <w:rPr>
          <w:rFonts w:ascii="Calibri" w:hAnsi="Calibri"/>
          <w:sz w:val="24"/>
        </w:rPr>
        <w:t>.</w:t>
      </w:r>
    </w:p>
    <w:p w14:paraId="79234121" w14:textId="77777777" w:rsidR="00930F3B" w:rsidRDefault="00930F3B" w:rsidP="00930F3B">
      <w:pPr>
        <w:pStyle w:val="ListParagraph"/>
        <w:numPr>
          <w:ilvl w:val="0"/>
          <w:numId w:val="11"/>
        </w:numPr>
        <w:spacing w:after="120" w:line="240" w:lineRule="auto"/>
        <w:ind w:left="357" w:hanging="357"/>
        <w:contextualSpacing w:val="0"/>
        <w:rPr>
          <w:rFonts w:ascii="Calibri" w:hAnsi="Calibri"/>
          <w:sz w:val="24"/>
        </w:rPr>
      </w:pPr>
      <w:r>
        <w:rPr>
          <w:rFonts w:ascii="Calibri" w:hAnsi="Calibri"/>
          <w:sz w:val="24"/>
        </w:rPr>
        <w:t>Consultation responses and transcripts of public hearings</w:t>
      </w:r>
    </w:p>
    <w:p w14:paraId="58869196" w14:textId="77777777" w:rsidR="00930F3B" w:rsidRDefault="00930F3B" w:rsidP="00930F3B">
      <w:pPr>
        <w:pStyle w:val="ListParagraph"/>
        <w:numPr>
          <w:ilvl w:val="0"/>
          <w:numId w:val="11"/>
        </w:numPr>
        <w:spacing w:after="120" w:line="240" w:lineRule="auto"/>
        <w:ind w:left="357" w:hanging="357"/>
        <w:contextualSpacing w:val="0"/>
        <w:rPr>
          <w:rFonts w:ascii="Calibri" w:hAnsi="Calibri"/>
          <w:sz w:val="24"/>
        </w:rPr>
      </w:pPr>
      <w:r w:rsidRPr="00BA33C9">
        <w:rPr>
          <w:rFonts w:ascii="Calibri" w:hAnsi="Calibri"/>
          <w:sz w:val="24"/>
        </w:rPr>
        <w:t>Statistical information used to inform the Commission’s proposals</w:t>
      </w:r>
      <w:r>
        <w:rPr>
          <w:rFonts w:ascii="Calibri" w:hAnsi="Calibri"/>
          <w:sz w:val="24"/>
        </w:rPr>
        <w:t xml:space="preserve"> </w:t>
      </w:r>
    </w:p>
    <w:p w14:paraId="3D8C1869" w14:textId="4C260FA7" w:rsidR="00930F3B" w:rsidRPr="00683B6D" w:rsidRDefault="00930F3B" w:rsidP="00930F3B">
      <w:pPr>
        <w:pStyle w:val="ListParagraph"/>
        <w:numPr>
          <w:ilvl w:val="0"/>
          <w:numId w:val="11"/>
        </w:numPr>
        <w:spacing w:before="360" w:after="0" w:line="240" w:lineRule="auto"/>
        <w:rPr>
          <w:rFonts w:ascii="Calibri" w:hAnsi="Calibri"/>
          <w:b/>
          <w:sz w:val="28"/>
        </w:rPr>
      </w:pPr>
      <w:r>
        <w:rPr>
          <w:rFonts w:ascii="Calibri" w:hAnsi="Calibri"/>
          <w:sz w:val="24"/>
        </w:rPr>
        <w:t>Notes</w:t>
      </w:r>
      <w:r w:rsidRPr="00683B6D">
        <w:rPr>
          <w:rFonts w:ascii="Calibri" w:hAnsi="Calibri"/>
          <w:sz w:val="24"/>
        </w:rPr>
        <w:t xml:space="preserve"> of Commission meetings </w:t>
      </w:r>
    </w:p>
    <w:p w14:paraId="429143B8" w14:textId="77777777" w:rsidR="00930F3B" w:rsidRPr="00683B6D" w:rsidRDefault="00930F3B" w:rsidP="00930F3B">
      <w:pPr>
        <w:pStyle w:val="ListParagraph"/>
        <w:spacing w:before="360" w:line="240" w:lineRule="auto"/>
        <w:ind w:left="360"/>
        <w:rPr>
          <w:rFonts w:ascii="Calibri" w:hAnsi="Calibri"/>
          <w:b/>
          <w:sz w:val="28"/>
        </w:rPr>
      </w:pPr>
    </w:p>
    <w:p w14:paraId="59DFBFEF" w14:textId="77777777" w:rsidR="00930F3B" w:rsidRPr="00683B6D" w:rsidRDefault="00930F3B" w:rsidP="00930F3B">
      <w:pPr>
        <w:pStyle w:val="ListParagraph"/>
        <w:spacing w:before="360" w:line="240" w:lineRule="auto"/>
        <w:ind w:left="360"/>
        <w:rPr>
          <w:rFonts w:ascii="Calibri" w:hAnsi="Calibri"/>
          <w:b/>
          <w:sz w:val="28"/>
        </w:rPr>
      </w:pPr>
      <w:r w:rsidRPr="00683B6D">
        <w:rPr>
          <w:rFonts w:ascii="Calibri" w:hAnsi="Calibri"/>
          <w:b/>
          <w:sz w:val="28"/>
        </w:rPr>
        <w:t>Policies and procedures</w:t>
      </w:r>
    </w:p>
    <w:p w14:paraId="77D328B6" w14:textId="77777777" w:rsidR="00930F3B" w:rsidRDefault="00930F3B" w:rsidP="00930F3B">
      <w:pPr>
        <w:spacing w:line="240" w:lineRule="auto"/>
        <w:rPr>
          <w:rFonts w:ascii="Calibri" w:hAnsi="Calibri"/>
          <w:i/>
          <w:sz w:val="24"/>
          <w:szCs w:val="24"/>
        </w:rPr>
      </w:pPr>
      <w:r w:rsidRPr="00BA33C9">
        <w:rPr>
          <w:rFonts w:ascii="Calibri" w:hAnsi="Calibri"/>
          <w:i/>
          <w:sz w:val="24"/>
          <w:szCs w:val="24"/>
        </w:rPr>
        <w:t>Current written protocols for delivering our functions and responsibilities</w:t>
      </w:r>
    </w:p>
    <w:p w14:paraId="7ACDB5BD" w14:textId="77777777" w:rsidR="00930F3B" w:rsidRPr="00696F65" w:rsidRDefault="00930F3B" w:rsidP="00930F3B">
      <w:pPr>
        <w:pStyle w:val="ListParagraph"/>
        <w:numPr>
          <w:ilvl w:val="0"/>
          <w:numId w:val="12"/>
        </w:numPr>
        <w:spacing w:before="240" w:after="120" w:line="240" w:lineRule="auto"/>
        <w:ind w:left="357" w:hanging="357"/>
        <w:contextualSpacing w:val="0"/>
        <w:rPr>
          <w:rFonts w:ascii="Calibri" w:hAnsi="Calibri"/>
          <w:sz w:val="24"/>
        </w:rPr>
      </w:pPr>
      <w:r w:rsidRPr="00696F65">
        <w:rPr>
          <w:rFonts w:ascii="Calibri" w:hAnsi="Calibri"/>
          <w:sz w:val="24"/>
        </w:rPr>
        <w:lastRenderedPageBreak/>
        <w:t>The framework for delivery of our functions and responsi</w:t>
      </w:r>
      <w:r>
        <w:rPr>
          <w:rFonts w:ascii="Calibri" w:hAnsi="Calibri"/>
          <w:sz w:val="24"/>
        </w:rPr>
        <w:t xml:space="preserve">bilities is set out in statute (see </w:t>
      </w:r>
      <w:r>
        <w:rPr>
          <w:rFonts w:ascii="Calibri" w:hAnsi="Calibri"/>
          <w:b/>
          <w:sz w:val="24"/>
        </w:rPr>
        <w:t>Who We Are and What We Do)</w:t>
      </w:r>
    </w:p>
    <w:p w14:paraId="71B74910" w14:textId="77777777" w:rsidR="00930F3B" w:rsidRPr="00696F65" w:rsidRDefault="00930F3B" w:rsidP="00930F3B">
      <w:pPr>
        <w:pStyle w:val="ListParagraph"/>
        <w:numPr>
          <w:ilvl w:val="0"/>
          <w:numId w:val="12"/>
        </w:numPr>
        <w:spacing w:after="120" w:line="240" w:lineRule="auto"/>
        <w:ind w:left="357" w:hanging="357"/>
        <w:contextualSpacing w:val="0"/>
        <w:rPr>
          <w:rFonts w:ascii="Calibri" w:hAnsi="Calibri"/>
          <w:sz w:val="24"/>
        </w:rPr>
      </w:pPr>
      <w:r w:rsidRPr="00696F65">
        <w:rPr>
          <w:rFonts w:ascii="Calibri" w:hAnsi="Calibri"/>
          <w:sz w:val="24"/>
        </w:rPr>
        <w:t xml:space="preserve">Code of Practice </w:t>
      </w:r>
    </w:p>
    <w:p w14:paraId="1F7ADA75" w14:textId="77777777" w:rsidR="00930F3B" w:rsidRDefault="00930F3B" w:rsidP="00930F3B">
      <w:pPr>
        <w:pStyle w:val="ListParagraph"/>
        <w:numPr>
          <w:ilvl w:val="0"/>
          <w:numId w:val="12"/>
        </w:numPr>
        <w:spacing w:line="240" w:lineRule="auto"/>
        <w:rPr>
          <w:rFonts w:ascii="Calibri" w:hAnsi="Calibri"/>
          <w:sz w:val="24"/>
        </w:rPr>
      </w:pPr>
      <w:r>
        <w:rPr>
          <w:rFonts w:ascii="Calibri" w:hAnsi="Calibri"/>
          <w:sz w:val="24"/>
        </w:rPr>
        <w:t>Complaints Procedure</w:t>
      </w:r>
    </w:p>
    <w:p w14:paraId="471B86DB" w14:textId="77777777" w:rsidR="00930F3B" w:rsidRPr="00B20AA3" w:rsidRDefault="00930F3B" w:rsidP="00930F3B">
      <w:pPr>
        <w:pStyle w:val="ListParagraph"/>
        <w:spacing w:line="240" w:lineRule="auto"/>
        <w:ind w:left="360"/>
        <w:rPr>
          <w:rFonts w:ascii="Calibri" w:hAnsi="Calibri"/>
          <w:sz w:val="24"/>
        </w:rPr>
      </w:pPr>
    </w:p>
    <w:p w14:paraId="06115CEC" w14:textId="77777777" w:rsidR="00930F3B" w:rsidRDefault="00930F3B" w:rsidP="00930F3B">
      <w:pPr>
        <w:pStyle w:val="ListParagraph"/>
        <w:numPr>
          <w:ilvl w:val="0"/>
          <w:numId w:val="12"/>
        </w:numPr>
        <w:spacing w:line="240" w:lineRule="auto"/>
        <w:rPr>
          <w:rFonts w:ascii="Calibri" w:hAnsi="Calibri"/>
          <w:sz w:val="24"/>
        </w:rPr>
      </w:pPr>
      <w:r>
        <w:rPr>
          <w:rFonts w:ascii="Calibri" w:hAnsi="Calibri"/>
          <w:sz w:val="24"/>
        </w:rPr>
        <w:t>Data Protection and Privacy Policy</w:t>
      </w:r>
    </w:p>
    <w:p w14:paraId="632689A5" w14:textId="77777777" w:rsidR="00930F3B" w:rsidRDefault="00930F3B" w:rsidP="00930F3B">
      <w:pPr>
        <w:pStyle w:val="ListParagraph"/>
        <w:spacing w:line="240" w:lineRule="auto"/>
        <w:ind w:left="360"/>
        <w:rPr>
          <w:rFonts w:ascii="Calibri" w:hAnsi="Calibri"/>
          <w:sz w:val="24"/>
        </w:rPr>
      </w:pPr>
    </w:p>
    <w:p w14:paraId="587B7CD2" w14:textId="77777777" w:rsidR="00930F3B" w:rsidRPr="00B20AA3" w:rsidRDefault="00930F3B" w:rsidP="00930F3B">
      <w:pPr>
        <w:pStyle w:val="ListParagraph"/>
        <w:numPr>
          <w:ilvl w:val="0"/>
          <w:numId w:val="12"/>
        </w:numPr>
        <w:spacing w:line="240" w:lineRule="auto"/>
        <w:rPr>
          <w:rFonts w:ascii="Calibri" w:hAnsi="Calibri"/>
          <w:sz w:val="24"/>
        </w:rPr>
      </w:pPr>
      <w:r>
        <w:rPr>
          <w:rFonts w:ascii="Calibri" w:hAnsi="Calibri"/>
          <w:sz w:val="24"/>
        </w:rPr>
        <w:t>Accessibility Statement for the Commission’s website</w:t>
      </w:r>
    </w:p>
    <w:p w14:paraId="14706420" w14:textId="77777777" w:rsidR="00930F3B" w:rsidRPr="00696F65" w:rsidRDefault="00930F3B" w:rsidP="00930F3B">
      <w:pPr>
        <w:spacing w:before="360" w:after="0" w:line="240" w:lineRule="auto"/>
        <w:rPr>
          <w:rFonts w:ascii="Calibri" w:hAnsi="Calibri"/>
          <w:b/>
          <w:sz w:val="28"/>
          <w:szCs w:val="24"/>
        </w:rPr>
      </w:pPr>
      <w:r w:rsidRPr="00696F65">
        <w:rPr>
          <w:rFonts w:ascii="Calibri" w:hAnsi="Calibri"/>
          <w:b/>
          <w:sz w:val="28"/>
          <w:szCs w:val="24"/>
        </w:rPr>
        <w:t>Lists and registers</w:t>
      </w:r>
    </w:p>
    <w:p w14:paraId="36BDDF51" w14:textId="77777777" w:rsidR="00930F3B" w:rsidRPr="00696F65" w:rsidRDefault="00930F3B" w:rsidP="00930F3B">
      <w:pPr>
        <w:spacing w:line="240" w:lineRule="auto"/>
        <w:rPr>
          <w:rFonts w:ascii="Calibri" w:hAnsi="Calibri"/>
          <w:i/>
          <w:sz w:val="24"/>
          <w:szCs w:val="24"/>
        </w:rPr>
      </w:pPr>
      <w:r w:rsidRPr="00BA33C9">
        <w:rPr>
          <w:rFonts w:ascii="Calibri" w:hAnsi="Calibri"/>
          <w:i/>
          <w:sz w:val="24"/>
          <w:szCs w:val="24"/>
        </w:rPr>
        <w:t>Information held in registers required by law and other lists and registers relating to the functions of the authority</w:t>
      </w:r>
    </w:p>
    <w:p w14:paraId="2D2CE90A" w14:textId="77777777" w:rsidR="00930F3B" w:rsidRPr="00F442CB" w:rsidRDefault="00930F3B" w:rsidP="00930F3B">
      <w:pPr>
        <w:pStyle w:val="ListParagraph"/>
        <w:numPr>
          <w:ilvl w:val="0"/>
          <w:numId w:val="13"/>
        </w:numPr>
        <w:spacing w:line="240" w:lineRule="auto"/>
        <w:rPr>
          <w:rFonts w:ascii="Calibri" w:hAnsi="Calibri"/>
          <w:sz w:val="24"/>
        </w:rPr>
      </w:pPr>
      <w:r w:rsidRPr="00F442CB">
        <w:rPr>
          <w:rFonts w:ascii="Calibri" w:hAnsi="Calibri"/>
          <w:sz w:val="24"/>
        </w:rPr>
        <w:t xml:space="preserve">Register of Interests </w:t>
      </w:r>
    </w:p>
    <w:p w14:paraId="15A7A1B4" w14:textId="77777777" w:rsidR="00696F65" w:rsidRDefault="00BA33C9" w:rsidP="0072594C">
      <w:pPr>
        <w:spacing w:before="360" w:after="0" w:line="240" w:lineRule="auto"/>
        <w:rPr>
          <w:rFonts w:ascii="Calibri" w:hAnsi="Calibri"/>
          <w:b/>
          <w:sz w:val="28"/>
          <w:szCs w:val="24"/>
        </w:rPr>
      </w:pPr>
      <w:r w:rsidRPr="00BA33C9">
        <w:rPr>
          <w:rFonts w:ascii="Calibri" w:hAnsi="Calibri"/>
          <w:b/>
          <w:sz w:val="28"/>
          <w:szCs w:val="24"/>
        </w:rPr>
        <w:t>The services we offer</w:t>
      </w:r>
    </w:p>
    <w:p w14:paraId="5AF3394D" w14:textId="77777777" w:rsidR="00696F65" w:rsidRDefault="00BA33C9" w:rsidP="0072594C">
      <w:pPr>
        <w:spacing w:line="240" w:lineRule="auto"/>
        <w:rPr>
          <w:rFonts w:ascii="Calibri" w:hAnsi="Calibri"/>
          <w:i/>
          <w:sz w:val="24"/>
          <w:szCs w:val="24"/>
        </w:rPr>
      </w:pPr>
      <w:r w:rsidRPr="00BA33C9">
        <w:rPr>
          <w:rFonts w:ascii="Calibri" w:hAnsi="Calibri"/>
          <w:i/>
          <w:sz w:val="24"/>
          <w:szCs w:val="24"/>
        </w:rPr>
        <w:t>Advice and guidance, booklets and leaflets, transactions and media releases.</w:t>
      </w:r>
    </w:p>
    <w:p w14:paraId="3FEA20AE" w14:textId="25A8818C" w:rsidR="00696F65" w:rsidRDefault="00930F3B" w:rsidP="00696F65">
      <w:pPr>
        <w:pStyle w:val="ListParagraph"/>
        <w:numPr>
          <w:ilvl w:val="0"/>
          <w:numId w:val="13"/>
        </w:numPr>
        <w:spacing w:after="120" w:line="240" w:lineRule="auto"/>
        <w:ind w:left="357" w:hanging="357"/>
        <w:contextualSpacing w:val="0"/>
        <w:rPr>
          <w:rFonts w:ascii="Calibri" w:hAnsi="Calibri"/>
          <w:sz w:val="24"/>
          <w:szCs w:val="24"/>
        </w:rPr>
      </w:pPr>
      <w:r>
        <w:rPr>
          <w:rFonts w:ascii="Calibri" w:hAnsi="Calibri"/>
          <w:sz w:val="24"/>
          <w:szCs w:val="24"/>
        </w:rPr>
        <w:t>Guide to the 2023 Review</w:t>
      </w:r>
    </w:p>
    <w:p w14:paraId="4D007817" w14:textId="3FC87293" w:rsidR="00930F3B" w:rsidRPr="00930F3B" w:rsidRDefault="00930F3B" w:rsidP="00930F3B">
      <w:pPr>
        <w:pStyle w:val="ListParagraph"/>
        <w:numPr>
          <w:ilvl w:val="0"/>
          <w:numId w:val="13"/>
        </w:numPr>
        <w:spacing w:after="120" w:line="240" w:lineRule="auto"/>
        <w:ind w:left="357" w:hanging="357"/>
        <w:contextualSpacing w:val="0"/>
        <w:rPr>
          <w:rFonts w:ascii="Calibri" w:hAnsi="Calibri"/>
          <w:sz w:val="24"/>
          <w:szCs w:val="24"/>
        </w:rPr>
      </w:pPr>
      <w:r>
        <w:rPr>
          <w:rFonts w:ascii="Calibri" w:hAnsi="Calibri"/>
          <w:sz w:val="24"/>
          <w:szCs w:val="24"/>
        </w:rPr>
        <w:t>Press releases and updates about progress of any active Review</w:t>
      </w:r>
    </w:p>
    <w:p w14:paraId="270506B5" w14:textId="7C104F56" w:rsidR="00696F65" w:rsidRPr="00696F65" w:rsidRDefault="00952C4A" w:rsidP="00696F65">
      <w:pPr>
        <w:pStyle w:val="ListParagraph"/>
        <w:numPr>
          <w:ilvl w:val="0"/>
          <w:numId w:val="13"/>
        </w:numPr>
        <w:spacing w:after="120" w:line="240" w:lineRule="auto"/>
        <w:ind w:left="357" w:hanging="357"/>
        <w:contextualSpacing w:val="0"/>
        <w:rPr>
          <w:rFonts w:ascii="Calibri" w:hAnsi="Calibri"/>
          <w:sz w:val="24"/>
          <w:szCs w:val="24"/>
        </w:rPr>
      </w:pPr>
      <w:r>
        <w:rPr>
          <w:rFonts w:ascii="Calibri" w:hAnsi="Calibri"/>
          <w:sz w:val="24"/>
          <w:szCs w:val="24"/>
        </w:rPr>
        <w:t>At specified stages throughout the Review</w:t>
      </w:r>
      <w:r w:rsidR="004403D4">
        <w:rPr>
          <w:rFonts w:ascii="Calibri" w:hAnsi="Calibri"/>
          <w:sz w:val="24"/>
          <w:szCs w:val="24"/>
        </w:rPr>
        <w:t>,</w:t>
      </w:r>
      <w:r>
        <w:rPr>
          <w:rFonts w:ascii="Calibri" w:hAnsi="Calibri"/>
          <w:sz w:val="24"/>
          <w:szCs w:val="24"/>
        </w:rPr>
        <w:t xml:space="preserve"> the Commission prepares a</w:t>
      </w:r>
      <w:r w:rsidR="00696F65" w:rsidRPr="00696F65">
        <w:rPr>
          <w:rFonts w:ascii="Calibri" w:hAnsi="Calibri"/>
          <w:sz w:val="24"/>
          <w:szCs w:val="24"/>
        </w:rPr>
        <w:t xml:space="preserve"> report.  These reports are made availab</w:t>
      </w:r>
      <w:r w:rsidR="002042D4">
        <w:rPr>
          <w:rFonts w:ascii="Calibri" w:hAnsi="Calibri"/>
          <w:sz w:val="24"/>
          <w:szCs w:val="24"/>
        </w:rPr>
        <w:t>le on the Commission’s website.</w:t>
      </w:r>
    </w:p>
    <w:p w14:paraId="38669641" w14:textId="77777777" w:rsidR="0072594C" w:rsidRPr="0072594C" w:rsidRDefault="0072594C" w:rsidP="0072594C">
      <w:pPr>
        <w:autoSpaceDE w:val="0"/>
        <w:autoSpaceDN w:val="0"/>
        <w:adjustRightInd w:val="0"/>
        <w:spacing w:before="360" w:line="240" w:lineRule="auto"/>
        <w:rPr>
          <w:rFonts w:cs="ArialMT"/>
          <w:b/>
          <w:sz w:val="28"/>
          <w:szCs w:val="24"/>
        </w:rPr>
      </w:pPr>
      <w:r w:rsidRPr="0072594C">
        <w:rPr>
          <w:rFonts w:cs="ArialMT"/>
          <w:b/>
          <w:sz w:val="28"/>
          <w:szCs w:val="24"/>
        </w:rPr>
        <w:t>The classes of information will not generally include:</w:t>
      </w:r>
    </w:p>
    <w:p w14:paraId="529F1EBE" w14:textId="77777777" w:rsidR="0072594C" w:rsidRDefault="0072594C" w:rsidP="0072594C">
      <w:pPr>
        <w:pStyle w:val="ListParagraph"/>
        <w:numPr>
          <w:ilvl w:val="0"/>
          <w:numId w:val="7"/>
        </w:numPr>
        <w:autoSpaceDE w:val="0"/>
        <w:autoSpaceDN w:val="0"/>
        <w:adjustRightInd w:val="0"/>
        <w:spacing w:after="120" w:line="240" w:lineRule="auto"/>
        <w:ind w:left="426" w:hanging="426"/>
        <w:contextualSpacing w:val="0"/>
        <w:rPr>
          <w:rFonts w:cs="ArialMT"/>
          <w:sz w:val="24"/>
          <w:szCs w:val="24"/>
        </w:rPr>
      </w:pPr>
      <w:r w:rsidRPr="00696F65">
        <w:rPr>
          <w:rFonts w:cs="ArialMT"/>
          <w:sz w:val="24"/>
          <w:szCs w:val="24"/>
        </w:rPr>
        <w:t>Information the disclosure of which is prevented by law, or exempt under the Freedom of Information Act, or is otherwise properly considered to be protected from disclosure.</w:t>
      </w:r>
    </w:p>
    <w:p w14:paraId="3D6B44C7" w14:textId="77777777" w:rsidR="0072594C" w:rsidRDefault="0072594C" w:rsidP="0072594C">
      <w:pPr>
        <w:pStyle w:val="ListParagraph"/>
        <w:numPr>
          <w:ilvl w:val="0"/>
          <w:numId w:val="7"/>
        </w:numPr>
        <w:autoSpaceDE w:val="0"/>
        <w:autoSpaceDN w:val="0"/>
        <w:adjustRightInd w:val="0"/>
        <w:spacing w:after="120" w:line="240" w:lineRule="auto"/>
        <w:ind w:left="426" w:hanging="426"/>
        <w:contextualSpacing w:val="0"/>
        <w:rPr>
          <w:rFonts w:cs="ArialMT"/>
          <w:sz w:val="24"/>
          <w:szCs w:val="24"/>
        </w:rPr>
      </w:pPr>
      <w:r w:rsidRPr="00696F65">
        <w:rPr>
          <w:rFonts w:cs="ArialMT"/>
          <w:sz w:val="24"/>
          <w:szCs w:val="24"/>
        </w:rPr>
        <w:t>Information in draft form.</w:t>
      </w:r>
    </w:p>
    <w:p w14:paraId="573A5365" w14:textId="77777777" w:rsidR="0072594C" w:rsidRDefault="0072594C" w:rsidP="0072594C">
      <w:pPr>
        <w:pStyle w:val="ListParagraph"/>
        <w:numPr>
          <w:ilvl w:val="0"/>
          <w:numId w:val="7"/>
        </w:numPr>
        <w:autoSpaceDE w:val="0"/>
        <w:autoSpaceDN w:val="0"/>
        <w:adjustRightInd w:val="0"/>
        <w:spacing w:line="240" w:lineRule="auto"/>
        <w:ind w:left="426" w:hanging="426"/>
        <w:contextualSpacing w:val="0"/>
        <w:rPr>
          <w:rFonts w:cs="ArialMT"/>
          <w:sz w:val="24"/>
          <w:szCs w:val="24"/>
        </w:rPr>
      </w:pPr>
      <w:r w:rsidRPr="00696F65">
        <w:rPr>
          <w:rFonts w:cs="ArialMT"/>
          <w:sz w:val="24"/>
          <w:szCs w:val="24"/>
        </w:rPr>
        <w:t>Information that is no longer readily available as it is contained in files that have been placed in archive storage, or is difficult to access for similar reasons.</w:t>
      </w:r>
    </w:p>
    <w:p w14:paraId="739E2002" w14:textId="77777777" w:rsidR="0072594C" w:rsidRPr="0072594C" w:rsidRDefault="0072594C" w:rsidP="00AF0E57">
      <w:pPr>
        <w:autoSpaceDE w:val="0"/>
        <w:autoSpaceDN w:val="0"/>
        <w:adjustRightInd w:val="0"/>
        <w:spacing w:before="360" w:line="240" w:lineRule="auto"/>
        <w:rPr>
          <w:rFonts w:cs="Arial-BoldMT"/>
          <w:b/>
          <w:bCs/>
          <w:sz w:val="28"/>
          <w:szCs w:val="24"/>
        </w:rPr>
      </w:pPr>
      <w:r w:rsidRPr="0072594C">
        <w:rPr>
          <w:rFonts w:cs="Arial-BoldMT"/>
          <w:b/>
          <w:bCs/>
          <w:sz w:val="28"/>
          <w:szCs w:val="24"/>
        </w:rPr>
        <w:t>The method by which information published under this scheme will be made available</w:t>
      </w:r>
    </w:p>
    <w:p w14:paraId="143ED029" w14:textId="72CD7CB6" w:rsidR="0072594C" w:rsidRDefault="0072594C" w:rsidP="0072594C">
      <w:pPr>
        <w:autoSpaceDE w:val="0"/>
        <w:autoSpaceDN w:val="0"/>
        <w:adjustRightInd w:val="0"/>
        <w:spacing w:line="240" w:lineRule="auto"/>
        <w:rPr>
          <w:rFonts w:cs="ArialMT"/>
          <w:sz w:val="24"/>
          <w:szCs w:val="24"/>
        </w:rPr>
      </w:pPr>
      <w:r>
        <w:rPr>
          <w:rFonts w:cs="ArialMT"/>
          <w:sz w:val="24"/>
          <w:szCs w:val="24"/>
        </w:rPr>
        <w:t xml:space="preserve">The majority of our information is available from our </w:t>
      </w:r>
      <w:r w:rsidRPr="00696F65">
        <w:rPr>
          <w:rFonts w:cs="ArialMT"/>
          <w:sz w:val="24"/>
          <w:szCs w:val="24"/>
        </w:rPr>
        <w:t xml:space="preserve">website. </w:t>
      </w:r>
      <w:r>
        <w:rPr>
          <w:rFonts w:cs="ArialMT"/>
          <w:sz w:val="24"/>
          <w:szCs w:val="24"/>
        </w:rPr>
        <w:t xml:space="preserve"> </w:t>
      </w:r>
      <w:r w:rsidRPr="00696F65">
        <w:rPr>
          <w:rFonts w:cs="ArialMT"/>
          <w:sz w:val="24"/>
          <w:szCs w:val="24"/>
        </w:rPr>
        <w:t xml:space="preserve">Where an individual does not wish to access the information by the website, </w:t>
      </w:r>
      <w:r w:rsidR="00AF0E57">
        <w:rPr>
          <w:rFonts w:cs="ArialMT"/>
          <w:sz w:val="24"/>
          <w:szCs w:val="24"/>
        </w:rPr>
        <w:t>we will endeavour to provide material in hard copy format</w:t>
      </w:r>
      <w:r w:rsidR="004429C7">
        <w:rPr>
          <w:rFonts w:cs="ArialMT"/>
          <w:sz w:val="24"/>
          <w:szCs w:val="24"/>
        </w:rPr>
        <w:t xml:space="preserve"> on request</w:t>
      </w:r>
      <w:r w:rsidRPr="00696F65">
        <w:rPr>
          <w:rFonts w:cs="ArialMT"/>
          <w:sz w:val="24"/>
          <w:szCs w:val="24"/>
        </w:rPr>
        <w:t>.</w:t>
      </w:r>
    </w:p>
    <w:p w14:paraId="48C469DE" w14:textId="5FD9B5B5" w:rsidR="0072594C" w:rsidRDefault="004429C7" w:rsidP="0072594C">
      <w:pPr>
        <w:autoSpaceDE w:val="0"/>
        <w:autoSpaceDN w:val="0"/>
        <w:adjustRightInd w:val="0"/>
        <w:spacing w:line="240" w:lineRule="auto"/>
        <w:rPr>
          <w:rFonts w:cs="ArialMT"/>
          <w:sz w:val="24"/>
          <w:szCs w:val="24"/>
        </w:rPr>
      </w:pPr>
      <w:r>
        <w:rPr>
          <w:rFonts w:cs="ArialMT"/>
          <w:sz w:val="24"/>
          <w:szCs w:val="24"/>
        </w:rPr>
        <w:t xml:space="preserve">The Commission is committed to making the information it publishes as accessible as possible. </w:t>
      </w:r>
      <w:r w:rsidR="0072594C" w:rsidRPr="00696F65">
        <w:rPr>
          <w:rFonts w:cs="ArialMT"/>
          <w:sz w:val="24"/>
          <w:szCs w:val="24"/>
        </w:rPr>
        <w:t>Information will be provided in the language in which it is held or in such other</w:t>
      </w:r>
      <w:r w:rsidR="0072594C">
        <w:rPr>
          <w:rFonts w:cs="ArialMT"/>
          <w:sz w:val="24"/>
          <w:szCs w:val="24"/>
        </w:rPr>
        <w:t xml:space="preserve"> </w:t>
      </w:r>
      <w:r w:rsidR="0072594C" w:rsidRPr="00696F65">
        <w:rPr>
          <w:rFonts w:cs="ArialMT"/>
          <w:sz w:val="24"/>
          <w:szCs w:val="24"/>
        </w:rPr>
        <w:t xml:space="preserve">language that is legally required. Where </w:t>
      </w:r>
      <w:r w:rsidR="00AF0E57">
        <w:rPr>
          <w:rFonts w:cs="ArialMT"/>
          <w:sz w:val="24"/>
          <w:szCs w:val="24"/>
        </w:rPr>
        <w:t>the Commission is</w:t>
      </w:r>
      <w:r w:rsidR="0072594C" w:rsidRPr="00696F65">
        <w:rPr>
          <w:rFonts w:cs="ArialMT"/>
          <w:sz w:val="24"/>
          <w:szCs w:val="24"/>
        </w:rPr>
        <w:t xml:space="preserve"> legally required to translate</w:t>
      </w:r>
      <w:r w:rsidR="0072594C">
        <w:rPr>
          <w:rFonts w:cs="ArialMT"/>
          <w:sz w:val="24"/>
          <w:szCs w:val="24"/>
        </w:rPr>
        <w:t xml:space="preserve"> </w:t>
      </w:r>
      <w:r w:rsidR="0072594C" w:rsidRPr="00696F65">
        <w:rPr>
          <w:rFonts w:cs="ArialMT"/>
          <w:sz w:val="24"/>
          <w:szCs w:val="24"/>
        </w:rPr>
        <w:t>any information, it will do so.</w:t>
      </w:r>
    </w:p>
    <w:p w14:paraId="321E5399" w14:textId="77777777" w:rsidR="0072594C" w:rsidRDefault="0072594C" w:rsidP="0072594C">
      <w:pPr>
        <w:autoSpaceDE w:val="0"/>
        <w:autoSpaceDN w:val="0"/>
        <w:adjustRightInd w:val="0"/>
        <w:spacing w:line="240" w:lineRule="auto"/>
        <w:rPr>
          <w:rFonts w:cs="ArialMT"/>
          <w:sz w:val="24"/>
          <w:szCs w:val="24"/>
        </w:rPr>
      </w:pPr>
      <w:r w:rsidRPr="00696F65">
        <w:rPr>
          <w:rFonts w:cs="ArialMT"/>
          <w:sz w:val="24"/>
          <w:szCs w:val="24"/>
        </w:rPr>
        <w:t>Obligations under disability and discrimination legislation and any other legislation to</w:t>
      </w:r>
      <w:r>
        <w:rPr>
          <w:rFonts w:cs="ArialMT"/>
          <w:sz w:val="24"/>
          <w:szCs w:val="24"/>
        </w:rPr>
        <w:t xml:space="preserve"> </w:t>
      </w:r>
      <w:r w:rsidRPr="00696F65">
        <w:rPr>
          <w:rFonts w:cs="ArialMT"/>
          <w:sz w:val="24"/>
          <w:szCs w:val="24"/>
        </w:rPr>
        <w:t xml:space="preserve">provide information in other forms and formats will be adhered to </w:t>
      </w:r>
      <w:r w:rsidR="00AF0E57">
        <w:rPr>
          <w:rFonts w:cs="ArialMT"/>
          <w:sz w:val="24"/>
          <w:szCs w:val="24"/>
        </w:rPr>
        <w:t xml:space="preserve">by the Commission </w:t>
      </w:r>
      <w:r w:rsidRPr="00696F65">
        <w:rPr>
          <w:rFonts w:cs="ArialMT"/>
          <w:sz w:val="24"/>
          <w:szCs w:val="24"/>
        </w:rPr>
        <w:t>when providing</w:t>
      </w:r>
      <w:r>
        <w:rPr>
          <w:rFonts w:cs="ArialMT"/>
          <w:sz w:val="24"/>
          <w:szCs w:val="24"/>
        </w:rPr>
        <w:t xml:space="preserve"> </w:t>
      </w:r>
      <w:r w:rsidRPr="00696F65">
        <w:rPr>
          <w:rFonts w:cs="ArialMT"/>
          <w:sz w:val="24"/>
          <w:szCs w:val="24"/>
        </w:rPr>
        <w:t>information in accordance with this scheme.</w:t>
      </w:r>
    </w:p>
    <w:p w14:paraId="0B472C6C" w14:textId="77777777" w:rsidR="00A367C8" w:rsidRDefault="00A367C8" w:rsidP="0072594C">
      <w:pPr>
        <w:autoSpaceDE w:val="0"/>
        <w:autoSpaceDN w:val="0"/>
        <w:adjustRightInd w:val="0"/>
        <w:spacing w:line="240" w:lineRule="auto"/>
      </w:pPr>
      <w:r w:rsidRPr="00A367C8">
        <w:rPr>
          <w:rFonts w:cs="Arial-BoldMT"/>
          <w:b/>
          <w:bCs/>
          <w:sz w:val="28"/>
          <w:szCs w:val="24"/>
        </w:rPr>
        <w:lastRenderedPageBreak/>
        <w:t>Charges which may be made for information published under this scheme</w:t>
      </w:r>
      <w:r>
        <w:t xml:space="preserve"> </w:t>
      </w:r>
    </w:p>
    <w:p w14:paraId="2196C8C8" w14:textId="6D86450B" w:rsidR="004030DF" w:rsidRDefault="00A367C8" w:rsidP="0072594C">
      <w:pPr>
        <w:autoSpaceDE w:val="0"/>
        <w:autoSpaceDN w:val="0"/>
        <w:adjustRightInd w:val="0"/>
        <w:spacing w:line="240" w:lineRule="auto"/>
        <w:rPr>
          <w:rFonts w:cs="ArialMT"/>
          <w:sz w:val="24"/>
          <w:szCs w:val="24"/>
        </w:rPr>
      </w:pPr>
      <w:r w:rsidRPr="00A367C8">
        <w:rPr>
          <w:rFonts w:cs="ArialMT"/>
          <w:sz w:val="24"/>
          <w:szCs w:val="24"/>
        </w:rPr>
        <w:t>Single copies of Commission publications may be available free of charge, though the Commission may wish to recover copying, postage and packaging costs where requests are made for a large number of publications.</w:t>
      </w:r>
    </w:p>
    <w:p w14:paraId="6FD0C182" w14:textId="29F05F1C" w:rsidR="0072594C" w:rsidRPr="00A367C8" w:rsidRDefault="0072594C" w:rsidP="00A367C8">
      <w:pPr>
        <w:autoSpaceDE w:val="0"/>
        <w:autoSpaceDN w:val="0"/>
        <w:adjustRightInd w:val="0"/>
        <w:spacing w:line="240" w:lineRule="auto"/>
        <w:rPr>
          <w:rFonts w:cs="Arial-BoldMT"/>
          <w:b/>
          <w:bCs/>
          <w:sz w:val="24"/>
          <w:szCs w:val="24"/>
        </w:rPr>
      </w:pPr>
      <w:r w:rsidRPr="00AF0E57">
        <w:rPr>
          <w:rFonts w:cs="Arial-BoldMT"/>
          <w:b/>
          <w:bCs/>
          <w:sz w:val="28"/>
          <w:szCs w:val="24"/>
        </w:rPr>
        <w:t>Written Requests</w:t>
      </w:r>
    </w:p>
    <w:p w14:paraId="66CB4C7B" w14:textId="5A8E0118" w:rsidR="0072594C" w:rsidRDefault="0072594C" w:rsidP="005E3C69">
      <w:pPr>
        <w:spacing w:after="120" w:line="240" w:lineRule="auto"/>
        <w:rPr>
          <w:rFonts w:cs="ArialMT"/>
          <w:sz w:val="24"/>
          <w:szCs w:val="24"/>
        </w:rPr>
      </w:pPr>
      <w:r w:rsidRPr="00696F65">
        <w:rPr>
          <w:rFonts w:cs="ArialMT"/>
          <w:sz w:val="24"/>
          <w:szCs w:val="24"/>
        </w:rPr>
        <w:t xml:space="preserve">Information held by </w:t>
      </w:r>
      <w:r w:rsidR="00AF0E57">
        <w:rPr>
          <w:rFonts w:cs="ArialMT"/>
          <w:sz w:val="24"/>
          <w:szCs w:val="24"/>
        </w:rPr>
        <w:t>the Commission</w:t>
      </w:r>
      <w:r w:rsidRPr="00696F65">
        <w:rPr>
          <w:rFonts w:cs="ArialMT"/>
          <w:sz w:val="24"/>
          <w:szCs w:val="24"/>
        </w:rPr>
        <w:t xml:space="preserve"> that is not published under this scheme can be</w:t>
      </w:r>
      <w:r>
        <w:rPr>
          <w:rFonts w:cs="ArialMT"/>
          <w:sz w:val="24"/>
          <w:szCs w:val="24"/>
        </w:rPr>
        <w:t xml:space="preserve"> </w:t>
      </w:r>
      <w:r w:rsidRPr="00696F65">
        <w:rPr>
          <w:rFonts w:cs="ArialMT"/>
          <w:sz w:val="24"/>
          <w:szCs w:val="24"/>
        </w:rPr>
        <w:t>requested in writing, when its provision will be considered in accordance with the</w:t>
      </w:r>
      <w:r>
        <w:rPr>
          <w:rFonts w:cs="ArialMT"/>
          <w:sz w:val="24"/>
          <w:szCs w:val="24"/>
        </w:rPr>
        <w:t xml:space="preserve"> </w:t>
      </w:r>
      <w:r w:rsidRPr="00696F65">
        <w:rPr>
          <w:rFonts w:cs="ArialMT"/>
          <w:sz w:val="24"/>
          <w:szCs w:val="24"/>
        </w:rPr>
        <w:t>provisions of the Freedom of Information Act.</w:t>
      </w:r>
    </w:p>
    <w:p w14:paraId="2041FA8E" w14:textId="53139F12" w:rsidR="00D26782" w:rsidRPr="00E913F6" w:rsidRDefault="00D26782" w:rsidP="00D26782">
      <w:pPr>
        <w:rPr>
          <w:rFonts w:ascii="Calibri" w:hAnsi="Calibri"/>
          <w:b/>
          <w:sz w:val="24"/>
          <w:szCs w:val="24"/>
        </w:rPr>
      </w:pPr>
    </w:p>
    <w:sectPr w:rsidR="00D26782" w:rsidRPr="00E913F6" w:rsidSect="00126D0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F51"/>
    <w:multiLevelType w:val="hybridMultilevel"/>
    <w:tmpl w:val="7C72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7902"/>
    <w:multiLevelType w:val="hybridMultilevel"/>
    <w:tmpl w:val="3C607C7A"/>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91A5DD0"/>
    <w:multiLevelType w:val="hybridMultilevel"/>
    <w:tmpl w:val="6E58B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75E18"/>
    <w:multiLevelType w:val="hybridMultilevel"/>
    <w:tmpl w:val="B13E4692"/>
    <w:lvl w:ilvl="0" w:tplc="CF6E6FC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931836"/>
    <w:multiLevelType w:val="hybridMultilevel"/>
    <w:tmpl w:val="ED929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540FC"/>
    <w:multiLevelType w:val="hybridMultilevel"/>
    <w:tmpl w:val="2C08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B7C00"/>
    <w:multiLevelType w:val="hybridMultilevel"/>
    <w:tmpl w:val="DE1A2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087E4C"/>
    <w:multiLevelType w:val="hybridMultilevel"/>
    <w:tmpl w:val="D018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12E4B"/>
    <w:multiLevelType w:val="hybridMultilevel"/>
    <w:tmpl w:val="45AAF752"/>
    <w:lvl w:ilvl="0" w:tplc="A9D4C0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F935FD"/>
    <w:multiLevelType w:val="hybridMultilevel"/>
    <w:tmpl w:val="EDA0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748F5"/>
    <w:multiLevelType w:val="hybridMultilevel"/>
    <w:tmpl w:val="5888B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CD4129"/>
    <w:multiLevelType w:val="hybridMultilevel"/>
    <w:tmpl w:val="139CC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4A4F62"/>
    <w:multiLevelType w:val="hybridMultilevel"/>
    <w:tmpl w:val="5F9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7468C5"/>
    <w:multiLevelType w:val="hybridMultilevel"/>
    <w:tmpl w:val="C1B49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3"/>
  </w:num>
  <w:num w:numId="6">
    <w:abstractNumId w:val="9"/>
  </w:num>
  <w:num w:numId="7">
    <w:abstractNumId w:val="7"/>
  </w:num>
  <w:num w:numId="8">
    <w:abstractNumId w:val="12"/>
  </w:num>
  <w:num w:numId="9">
    <w:abstractNumId w:val="2"/>
  </w:num>
  <w:num w:numId="10">
    <w:abstractNumId w:val="13"/>
  </w:num>
  <w:num w:numId="11">
    <w:abstractNumId w:val="11"/>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3Jy51YusQnTW5E1f9zY7t3L490NKYRe91rvSN1016NaRL+c1h+sYRIDnErpG0AGM4XEIcyKiqc7TSXy6dRXtgg==" w:salt="Fcv4Djwcy4WJISTXtLhZ+g=="/>
  <w:defaultTabStop w:val="720"/>
  <w:characterSpacingControl w:val="doNotCompress"/>
  <w:compat>
    <w:compatSetting w:name="compatibilityMode" w:uri="http://schemas.microsoft.com/office/word" w:val="12"/>
  </w:compat>
  <w:rsids>
    <w:rsidRoot w:val="00D26782"/>
    <w:rsid w:val="000115CE"/>
    <w:rsid w:val="0002042E"/>
    <w:rsid w:val="0005236C"/>
    <w:rsid w:val="000734A8"/>
    <w:rsid w:val="00094EDD"/>
    <w:rsid w:val="000A7FB9"/>
    <w:rsid w:val="000B270A"/>
    <w:rsid w:val="000E0955"/>
    <w:rsid w:val="000F01FA"/>
    <w:rsid w:val="0010293A"/>
    <w:rsid w:val="001269AB"/>
    <w:rsid w:val="00126D04"/>
    <w:rsid w:val="001766AE"/>
    <w:rsid w:val="0018082C"/>
    <w:rsid w:val="0019292F"/>
    <w:rsid w:val="001A0294"/>
    <w:rsid w:val="001C29B5"/>
    <w:rsid w:val="001D63AD"/>
    <w:rsid w:val="001D757E"/>
    <w:rsid w:val="001F2ADC"/>
    <w:rsid w:val="002042D4"/>
    <w:rsid w:val="00214CAC"/>
    <w:rsid w:val="00224CFA"/>
    <w:rsid w:val="00225BEC"/>
    <w:rsid w:val="00236ADC"/>
    <w:rsid w:val="00236D1A"/>
    <w:rsid w:val="00237E08"/>
    <w:rsid w:val="00270786"/>
    <w:rsid w:val="00282426"/>
    <w:rsid w:val="00282BCA"/>
    <w:rsid w:val="002B7AFB"/>
    <w:rsid w:val="002F4A3C"/>
    <w:rsid w:val="002F612D"/>
    <w:rsid w:val="003266EF"/>
    <w:rsid w:val="003338EC"/>
    <w:rsid w:val="00367A35"/>
    <w:rsid w:val="00375295"/>
    <w:rsid w:val="00380BCF"/>
    <w:rsid w:val="003C26CC"/>
    <w:rsid w:val="003D7751"/>
    <w:rsid w:val="004030DF"/>
    <w:rsid w:val="00417628"/>
    <w:rsid w:val="00420B0D"/>
    <w:rsid w:val="00423C56"/>
    <w:rsid w:val="004372F5"/>
    <w:rsid w:val="004403D4"/>
    <w:rsid w:val="004429C7"/>
    <w:rsid w:val="0044504F"/>
    <w:rsid w:val="00465B5B"/>
    <w:rsid w:val="00473017"/>
    <w:rsid w:val="004D317A"/>
    <w:rsid w:val="004E23BC"/>
    <w:rsid w:val="004F666F"/>
    <w:rsid w:val="005053C6"/>
    <w:rsid w:val="00513AFB"/>
    <w:rsid w:val="005510E1"/>
    <w:rsid w:val="0058173E"/>
    <w:rsid w:val="005A1A27"/>
    <w:rsid w:val="005C1CF6"/>
    <w:rsid w:val="005D06D4"/>
    <w:rsid w:val="005E09CE"/>
    <w:rsid w:val="005E3C69"/>
    <w:rsid w:val="005F32EF"/>
    <w:rsid w:val="00610E1A"/>
    <w:rsid w:val="00614372"/>
    <w:rsid w:val="006249B1"/>
    <w:rsid w:val="00655C55"/>
    <w:rsid w:val="00696F65"/>
    <w:rsid w:val="006A316A"/>
    <w:rsid w:val="006B0984"/>
    <w:rsid w:val="006C4303"/>
    <w:rsid w:val="00717203"/>
    <w:rsid w:val="0072594C"/>
    <w:rsid w:val="00751FE3"/>
    <w:rsid w:val="00780CF6"/>
    <w:rsid w:val="007B0284"/>
    <w:rsid w:val="007E2BE6"/>
    <w:rsid w:val="007E4100"/>
    <w:rsid w:val="00823838"/>
    <w:rsid w:val="00882596"/>
    <w:rsid w:val="00891165"/>
    <w:rsid w:val="00896128"/>
    <w:rsid w:val="008B28FA"/>
    <w:rsid w:val="008B2D71"/>
    <w:rsid w:val="008B3A39"/>
    <w:rsid w:val="008C17ED"/>
    <w:rsid w:val="00907FC6"/>
    <w:rsid w:val="00910176"/>
    <w:rsid w:val="00914C37"/>
    <w:rsid w:val="00930F3B"/>
    <w:rsid w:val="00952C4A"/>
    <w:rsid w:val="0098008F"/>
    <w:rsid w:val="009824A3"/>
    <w:rsid w:val="009847B1"/>
    <w:rsid w:val="009A104F"/>
    <w:rsid w:val="009A1833"/>
    <w:rsid w:val="009B55FE"/>
    <w:rsid w:val="00A00DB9"/>
    <w:rsid w:val="00A050ED"/>
    <w:rsid w:val="00A17176"/>
    <w:rsid w:val="00A367C8"/>
    <w:rsid w:val="00A65E36"/>
    <w:rsid w:val="00A66A7A"/>
    <w:rsid w:val="00A677DF"/>
    <w:rsid w:val="00A864A6"/>
    <w:rsid w:val="00AA141B"/>
    <w:rsid w:val="00AB016A"/>
    <w:rsid w:val="00AB2B37"/>
    <w:rsid w:val="00AD4081"/>
    <w:rsid w:val="00AF0E57"/>
    <w:rsid w:val="00B01FC7"/>
    <w:rsid w:val="00B456D2"/>
    <w:rsid w:val="00B55EF5"/>
    <w:rsid w:val="00B618DF"/>
    <w:rsid w:val="00BA33C9"/>
    <w:rsid w:val="00BA72C5"/>
    <w:rsid w:val="00BF5D70"/>
    <w:rsid w:val="00C076A8"/>
    <w:rsid w:val="00C4139C"/>
    <w:rsid w:val="00C763F9"/>
    <w:rsid w:val="00CA1FB9"/>
    <w:rsid w:val="00CB2D72"/>
    <w:rsid w:val="00CB3EF6"/>
    <w:rsid w:val="00CC4431"/>
    <w:rsid w:val="00CF2303"/>
    <w:rsid w:val="00D120E4"/>
    <w:rsid w:val="00D26782"/>
    <w:rsid w:val="00D46DCF"/>
    <w:rsid w:val="00D55697"/>
    <w:rsid w:val="00D716FC"/>
    <w:rsid w:val="00D825CD"/>
    <w:rsid w:val="00DB6F3D"/>
    <w:rsid w:val="00DC56BF"/>
    <w:rsid w:val="00DF0383"/>
    <w:rsid w:val="00E274DA"/>
    <w:rsid w:val="00E64093"/>
    <w:rsid w:val="00E65BC1"/>
    <w:rsid w:val="00E6686C"/>
    <w:rsid w:val="00E913F6"/>
    <w:rsid w:val="00E94BCF"/>
    <w:rsid w:val="00EA43F2"/>
    <w:rsid w:val="00EC3802"/>
    <w:rsid w:val="00ED08E7"/>
    <w:rsid w:val="00EF18CE"/>
    <w:rsid w:val="00EF50F3"/>
    <w:rsid w:val="00F11829"/>
    <w:rsid w:val="00F346C7"/>
    <w:rsid w:val="00F37B74"/>
    <w:rsid w:val="00F442CB"/>
    <w:rsid w:val="00F50631"/>
    <w:rsid w:val="00F50A75"/>
    <w:rsid w:val="00F80F39"/>
    <w:rsid w:val="00F82D65"/>
    <w:rsid w:val="00F91EC5"/>
    <w:rsid w:val="00FC7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DDCA"/>
  <w15:docId w15:val="{7E7F4355-4A8B-48B3-8564-42919122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C7"/>
  </w:style>
  <w:style w:type="paragraph" w:styleId="Heading1">
    <w:name w:val="heading 1"/>
    <w:basedOn w:val="Normal"/>
    <w:next w:val="Normal"/>
    <w:link w:val="Heading1Char"/>
    <w:autoRedefine/>
    <w:uiPriority w:val="9"/>
    <w:qFormat/>
    <w:rsid w:val="00C763F9"/>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autoRedefine/>
    <w:uiPriority w:val="9"/>
    <w:unhideWhenUsed/>
    <w:qFormat/>
    <w:rsid w:val="00C763F9"/>
    <w:pPr>
      <w:keepNext/>
      <w:keepLines/>
      <w:spacing w:before="40" w:after="0"/>
      <w:outlineLvl w:val="1"/>
    </w:pPr>
    <w:rPr>
      <w:rFonts w:ascii="Arial" w:eastAsiaTheme="majorEastAsia" w:hAnsi="Arial" w:cstheme="majorBidi"/>
      <w:b/>
      <w:sz w:val="28"/>
      <w:szCs w:val="26"/>
    </w:rPr>
  </w:style>
  <w:style w:type="paragraph" w:styleId="Heading3">
    <w:name w:val="heading 3"/>
    <w:basedOn w:val="Normal"/>
    <w:link w:val="Heading3Char"/>
    <w:uiPriority w:val="9"/>
    <w:qFormat/>
    <w:rsid w:val="0019292F"/>
    <w:pPr>
      <w:spacing w:before="326" w:after="163" w:line="326" w:lineRule="atLeast"/>
      <w:outlineLvl w:val="2"/>
    </w:pPr>
    <w:rPr>
      <w:rFonts w:ascii="Times New Roman" w:eastAsia="Times New Roman" w:hAnsi="Times New Roman" w:cs="Times New Roman"/>
      <w:b/>
      <w:bCs/>
      <w:color w:val="555555"/>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7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D7751"/>
    <w:rPr>
      <w:color w:val="0000FF" w:themeColor="hyperlink"/>
      <w:u w:val="single"/>
    </w:rPr>
  </w:style>
  <w:style w:type="paragraph" w:styleId="ListParagraph">
    <w:name w:val="List Paragraph"/>
    <w:basedOn w:val="Normal"/>
    <w:uiPriority w:val="34"/>
    <w:qFormat/>
    <w:rsid w:val="003D7751"/>
    <w:pPr>
      <w:ind w:left="720"/>
      <w:contextualSpacing/>
    </w:pPr>
  </w:style>
  <w:style w:type="paragraph" w:styleId="BalloonText">
    <w:name w:val="Balloon Text"/>
    <w:basedOn w:val="Normal"/>
    <w:link w:val="BalloonTextChar"/>
    <w:uiPriority w:val="99"/>
    <w:semiHidden/>
    <w:unhideWhenUsed/>
    <w:rsid w:val="004D3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17A"/>
    <w:rPr>
      <w:rFonts w:ascii="Tahoma" w:hAnsi="Tahoma" w:cs="Tahoma"/>
      <w:sz w:val="16"/>
      <w:szCs w:val="16"/>
    </w:rPr>
  </w:style>
  <w:style w:type="character" w:styleId="CommentReference">
    <w:name w:val="annotation reference"/>
    <w:basedOn w:val="DefaultParagraphFont"/>
    <w:uiPriority w:val="99"/>
    <w:semiHidden/>
    <w:unhideWhenUsed/>
    <w:rsid w:val="00C076A8"/>
    <w:rPr>
      <w:sz w:val="16"/>
      <w:szCs w:val="16"/>
    </w:rPr>
  </w:style>
  <w:style w:type="paragraph" w:styleId="CommentText">
    <w:name w:val="annotation text"/>
    <w:basedOn w:val="Normal"/>
    <w:link w:val="CommentTextChar"/>
    <w:uiPriority w:val="99"/>
    <w:semiHidden/>
    <w:unhideWhenUsed/>
    <w:rsid w:val="00C076A8"/>
    <w:pPr>
      <w:spacing w:line="240" w:lineRule="auto"/>
    </w:pPr>
    <w:rPr>
      <w:sz w:val="20"/>
      <w:szCs w:val="20"/>
    </w:rPr>
  </w:style>
  <w:style w:type="character" w:customStyle="1" w:styleId="CommentTextChar">
    <w:name w:val="Comment Text Char"/>
    <w:basedOn w:val="DefaultParagraphFont"/>
    <w:link w:val="CommentText"/>
    <w:uiPriority w:val="99"/>
    <w:semiHidden/>
    <w:rsid w:val="00C076A8"/>
    <w:rPr>
      <w:sz w:val="20"/>
      <w:szCs w:val="20"/>
    </w:rPr>
  </w:style>
  <w:style w:type="paragraph" w:styleId="CommentSubject">
    <w:name w:val="annotation subject"/>
    <w:basedOn w:val="CommentText"/>
    <w:next w:val="CommentText"/>
    <w:link w:val="CommentSubjectChar"/>
    <w:uiPriority w:val="99"/>
    <w:semiHidden/>
    <w:unhideWhenUsed/>
    <w:rsid w:val="00C076A8"/>
    <w:rPr>
      <w:b/>
      <w:bCs/>
    </w:rPr>
  </w:style>
  <w:style w:type="character" w:customStyle="1" w:styleId="CommentSubjectChar">
    <w:name w:val="Comment Subject Char"/>
    <w:basedOn w:val="CommentTextChar"/>
    <w:link w:val="CommentSubject"/>
    <w:uiPriority w:val="99"/>
    <w:semiHidden/>
    <w:rsid w:val="00C076A8"/>
    <w:rPr>
      <w:b/>
      <w:bCs/>
      <w:sz w:val="20"/>
      <w:szCs w:val="20"/>
    </w:rPr>
  </w:style>
  <w:style w:type="paragraph" w:styleId="Revision">
    <w:name w:val="Revision"/>
    <w:hidden/>
    <w:uiPriority w:val="99"/>
    <w:semiHidden/>
    <w:rsid w:val="00C076A8"/>
    <w:pPr>
      <w:spacing w:after="0" w:line="240" w:lineRule="auto"/>
    </w:pPr>
  </w:style>
  <w:style w:type="character" w:customStyle="1" w:styleId="Heading3Char">
    <w:name w:val="Heading 3 Char"/>
    <w:basedOn w:val="DefaultParagraphFont"/>
    <w:link w:val="Heading3"/>
    <w:uiPriority w:val="9"/>
    <w:rsid w:val="0019292F"/>
    <w:rPr>
      <w:rFonts w:ascii="Times New Roman" w:eastAsia="Times New Roman" w:hAnsi="Times New Roman" w:cs="Times New Roman"/>
      <w:b/>
      <w:bCs/>
      <w:color w:val="555555"/>
      <w:sz w:val="25"/>
      <w:szCs w:val="25"/>
      <w:lang w:eastAsia="en-GB"/>
    </w:rPr>
  </w:style>
  <w:style w:type="paragraph" w:styleId="NormalWeb">
    <w:name w:val="Normal (Web)"/>
    <w:basedOn w:val="Normal"/>
    <w:uiPriority w:val="99"/>
    <w:unhideWhenUsed/>
    <w:rsid w:val="0019292F"/>
    <w:pPr>
      <w:spacing w:after="326" w:line="240" w:lineRule="auto"/>
    </w:pPr>
    <w:rPr>
      <w:rFonts w:ascii="Times New Roman" w:eastAsia="Times New Roman" w:hAnsi="Times New Roman" w:cs="Times New Roman"/>
      <w:color w:val="555555"/>
      <w:sz w:val="24"/>
      <w:szCs w:val="24"/>
      <w:lang w:eastAsia="en-GB"/>
    </w:rPr>
  </w:style>
  <w:style w:type="character" w:styleId="FollowedHyperlink">
    <w:name w:val="FollowedHyperlink"/>
    <w:basedOn w:val="DefaultParagraphFont"/>
    <w:uiPriority w:val="99"/>
    <w:semiHidden/>
    <w:unhideWhenUsed/>
    <w:rsid w:val="00214CAC"/>
    <w:rPr>
      <w:color w:val="800080" w:themeColor="followedHyperlink"/>
      <w:u w:val="single"/>
    </w:rPr>
  </w:style>
  <w:style w:type="paragraph" w:styleId="HTMLAddress">
    <w:name w:val="HTML Address"/>
    <w:basedOn w:val="Normal"/>
    <w:link w:val="HTMLAddressChar"/>
    <w:uiPriority w:val="99"/>
    <w:semiHidden/>
    <w:unhideWhenUsed/>
    <w:rsid w:val="0005236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05236C"/>
    <w:rPr>
      <w:rFonts w:ascii="Times New Roman" w:eastAsia="Times New Roman" w:hAnsi="Times New Roman" w:cs="Times New Roman"/>
      <w:i/>
      <w:iCs/>
      <w:sz w:val="24"/>
      <w:szCs w:val="24"/>
      <w:lang w:eastAsia="en-GB"/>
    </w:rPr>
  </w:style>
  <w:style w:type="character" w:customStyle="1" w:styleId="Heading1Char">
    <w:name w:val="Heading 1 Char"/>
    <w:basedOn w:val="DefaultParagraphFont"/>
    <w:link w:val="Heading1"/>
    <w:uiPriority w:val="9"/>
    <w:rsid w:val="00C763F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763F9"/>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84">
      <w:bodyDiv w:val="1"/>
      <w:marLeft w:val="0"/>
      <w:marRight w:val="0"/>
      <w:marTop w:val="0"/>
      <w:marBottom w:val="0"/>
      <w:divBdr>
        <w:top w:val="none" w:sz="0" w:space="0" w:color="auto"/>
        <w:left w:val="none" w:sz="0" w:space="0" w:color="auto"/>
        <w:bottom w:val="none" w:sz="0" w:space="0" w:color="auto"/>
        <w:right w:val="none" w:sz="0" w:space="0" w:color="auto"/>
      </w:divBdr>
    </w:div>
    <w:div w:id="1435637897">
      <w:bodyDiv w:val="1"/>
      <w:marLeft w:val="0"/>
      <w:marRight w:val="0"/>
      <w:marTop w:val="0"/>
      <w:marBottom w:val="0"/>
      <w:divBdr>
        <w:top w:val="none" w:sz="0" w:space="0" w:color="auto"/>
        <w:left w:val="none" w:sz="0" w:space="0" w:color="auto"/>
        <w:bottom w:val="none" w:sz="0" w:space="0" w:color="auto"/>
        <w:right w:val="none" w:sz="0" w:space="0" w:color="auto"/>
      </w:divBdr>
      <w:divsChild>
        <w:div w:id="1796175716">
          <w:marLeft w:val="0"/>
          <w:marRight w:val="0"/>
          <w:marTop w:val="0"/>
          <w:marBottom w:val="0"/>
          <w:divBdr>
            <w:top w:val="none" w:sz="0" w:space="0" w:color="auto"/>
            <w:left w:val="none" w:sz="0" w:space="0" w:color="auto"/>
            <w:bottom w:val="none" w:sz="0" w:space="0" w:color="auto"/>
            <w:right w:val="none" w:sz="0" w:space="0" w:color="auto"/>
          </w:divBdr>
          <w:divsChild>
            <w:div w:id="1709257317">
              <w:marLeft w:val="0"/>
              <w:marRight w:val="0"/>
              <w:marTop w:val="0"/>
              <w:marBottom w:val="0"/>
              <w:divBdr>
                <w:top w:val="none" w:sz="0" w:space="0" w:color="auto"/>
                <w:left w:val="none" w:sz="0" w:space="0" w:color="auto"/>
                <w:bottom w:val="none" w:sz="0" w:space="0" w:color="auto"/>
                <w:right w:val="none" w:sz="0" w:space="0" w:color="auto"/>
              </w:divBdr>
              <w:divsChild>
                <w:div w:id="7703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1008">
      <w:bodyDiv w:val="1"/>
      <w:marLeft w:val="0"/>
      <w:marRight w:val="0"/>
      <w:marTop w:val="0"/>
      <w:marBottom w:val="0"/>
      <w:divBdr>
        <w:top w:val="none" w:sz="0" w:space="0" w:color="auto"/>
        <w:left w:val="none" w:sz="0" w:space="0" w:color="auto"/>
        <w:bottom w:val="none" w:sz="0" w:space="0" w:color="auto"/>
        <w:right w:val="none" w:sz="0" w:space="0" w:color="auto"/>
      </w:divBdr>
      <w:divsChild>
        <w:div w:id="1438408237">
          <w:marLeft w:val="0"/>
          <w:marRight w:val="0"/>
          <w:marTop w:val="0"/>
          <w:marBottom w:val="0"/>
          <w:divBdr>
            <w:top w:val="none" w:sz="0" w:space="0" w:color="auto"/>
            <w:left w:val="none" w:sz="0" w:space="0" w:color="auto"/>
            <w:bottom w:val="none" w:sz="0" w:space="0" w:color="auto"/>
            <w:right w:val="none" w:sz="0" w:space="0" w:color="auto"/>
          </w:divBdr>
          <w:divsChild>
            <w:div w:id="2088376514">
              <w:marLeft w:val="0"/>
              <w:marRight w:val="0"/>
              <w:marTop w:val="0"/>
              <w:marBottom w:val="136"/>
              <w:divBdr>
                <w:top w:val="none" w:sz="0" w:space="0" w:color="auto"/>
                <w:left w:val="none" w:sz="0" w:space="0" w:color="auto"/>
                <w:bottom w:val="none" w:sz="0" w:space="0" w:color="auto"/>
                <w:right w:val="none" w:sz="0" w:space="0" w:color="auto"/>
              </w:divBdr>
              <w:divsChild>
                <w:div w:id="1034424131">
                  <w:marLeft w:val="0"/>
                  <w:marRight w:val="0"/>
                  <w:marTop w:val="0"/>
                  <w:marBottom w:val="0"/>
                  <w:divBdr>
                    <w:top w:val="none" w:sz="0" w:space="0" w:color="auto"/>
                    <w:left w:val="none" w:sz="0" w:space="0" w:color="auto"/>
                    <w:bottom w:val="none" w:sz="0" w:space="0" w:color="auto"/>
                    <w:right w:val="none" w:sz="0" w:space="0" w:color="auto"/>
                  </w:divBdr>
                  <w:divsChild>
                    <w:div w:id="821653497">
                      <w:marLeft w:val="0"/>
                      <w:marRight w:val="0"/>
                      <w:marTop w:val="136"/>
                      <w:marBottom w:val="136"/>
                      <w:divBdr>
                        <w:top w:val="none" w:sz="0" w:space="0" w:color="auto"/>
                        <w:left w:val="none" w:sz="0" w:space="0" w:color="auto"/>
                        <w:bottom w:val="none" w:sz="0" w:space="0" w:color="auto"/>
                        <w:right w:val="none" w:sz="0" w:space="0" w:color="auto"/>
                      </w:divBdr>
                      <w:divsChild>
                        <w:div w:id="1417358063">
                          <w:marLeft w:val="0"/>
                          <w:marRight w:val="0"/>
                          <w:marTop w:val="0"/>
                          <w:marBottom w:val="0"/>
                          <w:divBdr>
                            <w:top w:val="none" w:sz="0" w:space="0" w:color="auto"/>
                            <w:left w:val="none" w:sz="0" w:space="0" w:color="auto"/>
                            <w:bottom w:val="none" w:sz="0" w:space="0" w:color="auto"/>
                            <w:right w:val="none" w:sz="0" w:space="0" w:color="auto"/>
                          </w:divBdr>
                          <w:divsChild>
                            <w:div w:id="2108499492">
                              <w:marLeft w:val="0"/>
                              <w:marRight w:val="0"/>
                              <w:marTop w:val="0"/>
                              <w:marBottom w:val="2"/>
                              <w:divBdr>
                                <w:top w:val="none" w:sz="0" w:space="0" w:color="auto"/>
                                <w:left w:val="none" w:sz="0" w:space="0" w:color="auto"/>
                                <w:bottom w:val="none" w:sz="0" w:space="0" w:color="auto"/>
                                <w:right w:val="none" w:sz="0" w:space="0" w:color="auto"/>
                              </w:divBdr>
                              <w:divsChild>
                                <w:div w:id="1656956927">
                                  <w:marLeft w:val="0"/>
                                  <w:marRight w:val="0"/>
                                  <w:marTop w:val="0"/>
                                  <w:marBottom w:val="0"/>
                                  <w:divBdr>
                                    <w:top w:val="none" w:sz="0" w:space="0" w:color="auto"/>
                                    <w:left w:val="none" w:sz="0" w:space="0" w:color="auto"/>
                                    <w:bottom w:val="none" w:sz="0" w:space="0" w:color="auto"/>
                                    <w:right w:val="none" w:sz="0" w:space="0" w:color="auto"/>
                                  </w:divBdr>
                                  <w:divsChild>
                                    <w:div w:id="1395007806">
                                      <w:marLeft w:val="0"/>
                                      <w:marRight w:val="0"/>
                                      <w:marTop w:val="0"/>
                                      <w:marBottom w:val="0"/>
                                      <w:divBdr>
                                        <w:top w:val="none" w:sz="0" w:space="0" w:color="auto"/>
                                        <w:left w:val="none" w:sz="0" w:space="0" w:color="auto"/>
                                        <w:bottom w:val="none" w:sz="0" w:space="0" w:color="auto"/>
                                        <w:right w:val="none" w:sz="0" w:space="0" w:color="auto"/>
                                      </w:divBdr>
                                      <w:divsChild>
                                        <w:div w:id="2015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1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undarycommission.org.uk" TargetMode="External"/><Relationship Id="rId13" Type="http://schemas.openxmlformats.org/officeDocument/2006/relationships/hyperlink" Target="https://www.boundarycommission.org.uk/complaints-procedure" TargetMode="External"/><Relationship Id="rId3" Type="http://schemas.openxmlformats.org/officeDocument/2006/relationships/styles" Target="styles.xml"/><Relationship Id="rId7" Type="http://schemas.openxmlformats.org/officeDocument/2006/relationships/hyperlink" Target="http://www.ico.org.uk" TargetMode="External"/><Relationship Id="rId12" Type="http://schemas.openxmlformats.org/officeDocument/2006/relationships/hyperlink" Target="http://www.boundarycommissio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ntact@boundarycommissio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nance-ni.gov.uk/contacts/contact-land-property-services" TargetMode="External"/><Relationship Id="rId4" Type="http://schemas.openxmlformats.org/officeDocument/2006/relationships/settings" Target="settings.xml"/><Relationship Id="rId9" Type="http://schemas.openxmlformats.org/officeDocument/2006/relationships/hyperlink" Target="https://www.boundarycommission.org.uk/c-crown-copyright"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19A7A-FFAD-49A1-BCFD-42C4122C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6</Pages>
  <Words>1469</Words>
  <Characters>8375</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Harris</dc:creator>
  <cp:lastModifiedBy>Richardson, Andrea</cp:lastModifiedBy>
  <cp:revision>106</cp:revision>
  <dcterms:created xsi:type="dcterms:W3CDTF">2016-11-17T14:59:00Z</dcterms:created>
  <dcterms:modified xsi:type="dcterms:W3CDTF">2021-06-25T14:33:00Z</dcterms:modified>
</cp:coreProperties>
</file>