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75" w:rsidRDefault="00227219">
      <w:pPr>
        <w:rPr>
          <w:noProof/>
          <w:szCs w:val="23"/>
          <w:lang w:eastAsia="en-GB"/>
        </w:rPr>
      </w:pPr>
      <w:bookmarkStart w:id="0" w:name="_GoBack"/>
      <w:bookmarkEnd w:id="0"/>
      <w:r>
        <w:rPr>
          <w:rFonts w:ascii="Times New Roman" w:hAnsi="Times New Roman" w:cs="Times New Roman"/>
          <w:noProof/>
          <w:szCs w:val="24"/>
          <w:lang w:eastAsia="en-GB"/>
        </w:rPr>
        <w:drawing>
          <wp:anchor distT="0" distB="0" distL="114300" distR="114300" simplePos="0" relativeHeight="251675648" behindDoc="0" locked="0" layoutInCell="1" allowOverlap="1" wp14:anchorId="6A304F43" wp14:editId="271AB336">
            <wp:simplePos x="0" y="0"/>
            <wp:positionH relativeFrom="page">
              <wp:posOffset>240030</wp:posOffset>
            </wp:positionH>
            <wp:positionV relativeFrom="paragraph">
              <wp:posOffset>-553720</wp:posOffset>
            </wp:positionV>
            <wp:extent cx="7059930" cy="1125855"/>
            <wp:effectExtent l="95250" t="95250" r="102870" b="93345"/>
            <wp:wrapNone/>
            <wp:docPr id="6" name="Picture 6" descr="Boundary Commission for Northern Ireland logo - blue map showing Northern Ireland with text that reads 'Boundary Commission for Northern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Commission for Northern Ireland logo - blue map showing Northern Ireland with text that reads 'Boundary Commission for Northern Ire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9930" cy="1125855"/>
                    </a:xfrm>
                    <a:prstGeom prst="rect">
                      <a:avLst/>
                    </a:prstGeom>
                    <a:noFill/>
                    <a:ln w="88900">
                      <a:solidFill>
                        <a:schemeClr val="accent1">
                          <a:lumMod val="20000"/>
                          <a:lumOff val="8000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14:anchorId="54078B2D" wp14:editId="417B46E2">
                <wp:simplePos x="0" y="0"/>
                <wp:positionH relativeFrom="page">
                  <wp:align>right</wp:align>
                </wp:positionH>
                <wp:positionV relativeFrom="paragraph">
                  <wp:posOffset>-902970</wp:posOffset>
                </wp:positionV>
                <wp:extent cx="7524750" cy="10629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524750" cy="106299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5979" w:rsidRDefault="000A5979" w:rsidP="009F49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4078B2D" id="Rectangle 3" o:spid="_x0000_s1026" style="position:absolute;margin-left:541.3pt;margin-top:-71.1pt;width:592.5pt;height:837pt;z-index:25167360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" fillcolor="#243f60 [1604]" strokecolor="#243f60 [1604]" strokeweight="2pt">
                <v:textbox>
                  <w:txbxContent>
                    <w:p w:rsidR="000A5979" w:rsidRDefault="000A5979" w:rsidP="009F494D"/>
                  </w:txbxContent>
                </v:textbox>
                <w10:wrap anchorx="page"/>
              </v:rect>
            </w:pict>
          </mc:Fallback>
        </mc:AlternateContent>
      </w:r>
    </w:p>
    <w:p w:rsidR="000C5A02" w:rsidRDefault="000C5A02"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B32F76" w:rsidP="000C5A02">
      <w:pPr>
        <w:jc w:val="center"/>
        <w:rPr>
          <w:szCs w:val="23"/>
        </w:rPr>
      </w:pPr>
    </w:p>
    <w:p w:rsidR="00B32F76" w:rsidRDefault="000D10F7" w:rsidP="000C5A02">
      <w:pPr>
        <w:jc w:val="center"/>
        <w:rPr>
          <w:szCs w:val="23"/>
        </w:rPr>
      </w:pPr>
      <w:r>
        <w:rPr>
          <w:rFonts w:ascii="Times New Roman" w:hAnsi="Times New Roman" w:cs="Times New Roman"/>
          <w:noProof/>
          <w:szCs w:val="24"/>
          <w:lang w:eastAsia="en-GB"/>
        </w:rPr>
        <mc:AlternateContent>
          <mc:Choice Requires="wps">
            <w:drawing>
              <wp:anchor distT="45720" distB="45720" distL="114300" distR="114300" simplePos="0" relativeHeight="251677696" behindDoc="0" locked="0" layoutInCell="1" allowOverlap="1" wp14:anchorId="6D5E630A" wp14:editId="2FA4AE35">
                <wp:simplePos x="0" y="0"/>
                <wp:positionH relativeFrom="margin">
                  <wp:align>center</wp:align>
                </wp:positionH>
                <wp:positionV relativeFrom="paragraph">
                  <wp:posOffset>684920</wp:posOffset>
                </wp:positionV>
                <wp:extent cx="7029450" cy="19812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981200"/>
                        </a:xfrm>
                        <a:prstGeom prst="rect">
                          <a:avLst/>
                        </a:prstGeom>
                        <a:noFill/>
                        <a:ln w="92075">
                          <a:noFill/>
                          <a:miter lim="800000"/>
                          <a:headEnd/>
                          <a:tailEnd/>
                        </a:ln>
                      </wps:spPr>
                      <wps:txbx>
                        <w:txbxContent>
                          <w:p w:rsidR="000A5979" w:rsidRPr="00227219" w:rsidRDefault="000A5979" w:rsidP="00181660">
                            <w:pPr>
                              <w:pStyle w:val="Title"/>
                            </w:pPr>
                            <w:r>
                              <w:rPr>
                                <w:rStyle w:val="BookTitle"/>
                                <w:sz w:val="132"/>
                              </w:rPr>
                              <w:t>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5E630A" id="_x0000_t202" coordsize="21600,21600" o:spt="202" path="m,l,21600r21600,l21600,xe">
                <v:stroke joinstyle="miter"/>
                <v:path gradientshapeok="t" o:connecttype="rect"/>
              </v:shapetype>
              <v:shape id="Text Box 217" o:spid="_x0000_s1027" type="#_x0000_t202" style="position:absolute;left:0;text-align:left;margin-left:0;margin-top:53.95pt;width:553.5pt;height:156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" filled="f" stroked="f" strokeweight="7.25pt">
                <v:textbox>
                  <w:txbxContent>
                    <w:p w:rsidR="000A5979" w:rsidRPr="00227219" w:rsidRDefault="000A5979" w:rsidP="00181660">
                      <w:pPr>
                        <w:pStyle w:val="Title"/>
                      </w:pPr>
                      <w:r>
                        <w:rPr>
                          <w:rStyle w:val="BookTitle"/>
                          <w:sz w:val="132"/>
                        </w:rPr>
                        <w:t>Annual Report</w:t>
                      </w:r>
                    </w:p>
                  </w:txbxContent>
                </v:textbox>
                <w10:wrap type="square" anchorx="margin"/>
              </v:shape>
            </w:pict>
          </mc:Fallback>
        </mc:AlternateContent>
      </w:r>
      <w:r>
        <w:rPr>
          <w:rFonts w:ascii="Times New Roman" w:hAnsi="Times New Roman" w:cs="Times New Roman"/>
          <w:noProof/>
          <w:szCs w:val="24"/>
          <w:lang w:eastAsia="en-GB"/>
        </w:rPr>
        <mc:AlternateContent>
          <mc:Choice Requires="wps">
            <w:drawing>
              <wp:anchor distT="45720" distB="45720" distL="114300" distR="114300" simplePos="0" relativeHeight="251681792" behindDoc="0" locked="0" layoutInCell="1" allowOverlap="1" wp14:anchorId="7335169A" wp14:editId="0FFD15C5">
                <wp:simplePos x="0" y="0"/>
                <wp:positionH relativeFrom="margin">
                  <wp:align>center</wp:align>
                </wp:positionH>
                <wp:positionV relativeFrom="paragraph">
                  <wp:posOffset>1966253</wp:posOffset>
                </wp:positionV>
                <wp:extent cx="6356350" cy="9271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927100"/>
                        </a:xfrm>
                        <a:prstGeom prst="rect">
                          <a:avLst/>
                        </a:prstGeom>
                        <a:noFill/>
                        <a:ln w="92075">
                          <a:noFill/>
                          <a:miter lim="800000"/>
                          <a:headEnd/>
                          <a:tailEnd/>
                        </a:ln>
                      </wps:spPr>
                      <wps:txbx>
                        <w:txbxContent>
                          <w:p w:rsidR="000A5979" w:rsidRPr="00181660" w:rsidRDefault="000A5979" w:rsidP="00181660">
                            <w:pPr>
                              <w:pStyle w:val="Title"/>
                            </w:pPr>
                            <w:r w:rsidRPr="00181660">
                              <w:rPr>
                                <w:rStyle w:val="BookTitle"/>
                                <w:sz w:val="96"/>
                              </w:rPr>
                              <w:t>2020 –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35169A" id="Text Box 8" o:spid="_x0000_s1028" type="#_x0000_t202" style="position:absolute;left:0;text-align:left;margin-left:0;margin-top:154.8pt;width:500.5pt;height:73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" filled="f" stroked="f" strokeweight="7.25pt">
                <v:textbox>
                  <w:txbxContent>
                    <w:p w:rsidR="000A5979" w:rsidRPr="00181660" w:rsidRDefault="000A5979" w:rsidP="00181660">
                      <w:pPr>
                        <w:pStyle w:val="Title"/>
                      </w:pPr>
                      <w:r w:rsidRPr="00181660">
                        <w:rPr>
                          <w:rStyle w:val="BookTitle"/>
                          <w:sz w:val="96"/>
                        </w:rPr>
                        <w:t>2020 – 2021</w:t>
                      </w:r>
                    </w:p>
                  </w:txbxContent>
                </v:textbox>
                <w10:wrap type="square" anchorx="margin"/>
              </v:shape>
            </w:pict>
          </mc:Fallback>
        </mc:AlternateContent>
      </w:r>
    </w:p>
    <w:p w:rsidR="00B32F76" w:rsidRDefault="00B32F76" w:rsidP="00D65C08">
      <w:pPr>
        <w:jc w:val="center"/>
        <w:rPr>
          <w:szCs w:val="23"/>
        </w:rPr>
        <w:sectPr w:rsidR="00B32F76" w:rsidSect="00AD6B8F">
          <w:footerReference w:type="default" r:id="rId10"/>
          <w:footerReference w:type="first" r:id="rId11"/>
          <w:pgSz w:w="11906" w:h="16838" w:code="9"/>
          <w:pgMar w:top="1440" w:right="1440" w:bottom="1440" w:left="1440" w:header="709" w:footer="709" w:gutter="0"/>
          <w:cols w:space="708"/>
          <w:titlePg/>
          <w:docGrid w:linePitch="360"/>
        </w:sectPr>
      </w:pPr>
    </w:p>
    <w:p w:rsidR="000A48DB" w:rsidRDefault="000A48DB" w:rsidP="00CD0BD5">
      <w:r>
        <w:lastRenderedPageBreak/>
        <w:t xml:space="preserve">This publication is available at </w:t>
      </w:r>
      <w:hyperlink r:id="rId12" w:history="1">
        <w:r w:rsidRPr="00B22FC9">
          <w:rPr>
            <w:rStyle w:val="Hyperlink"/>
            <w:szCs w:val="24"/>
          </w:rPr>
          <w:t>www.boundarycommission.org.uk</w:t>
        </w:r>
      </w:hyperlink>
      <w:r w:rsidRPr="00B22FC9">
        <w:rPr>
          <w:szCs w:val="24"/>
        </w:rPr>
        <w:t>.</w:t>
      </w:r>
    </w:p>
    <w:p w:rsidR="000A48DB" w:rsidRDefault="000A48DB" w:rsidP="00CD0BD5">
      <w:pPr>
        <w:pStyle w:val="Default"/>
        <w:rPr>
          <w:sz w:val="22"/>
          <w:szCs w:val="22"/>
        </w:rPr>
      </w:pPr>
    </w:p>
    <w:p w:rsidR="000A48DB" w:rsidRDefault="000A48DB" w:rsidP="00CD0BD5">
      <w:r>
        <w:t>Any enquiries</w:t>
      </w:r>
      <w:r w:rsidRPr="00796F1E">
        <w:t xml:space="preserve"> </w:t>
      </w:r>
      <w:r>
        <w:t>regarding this publi</w:t>
      </w:r>
      <w:r w:rsidR="00D65C08">
        <w:t>cation should be sent to us at:</w:t>
      </w:r>
    </w:p>
    <w:p w:rsidR="00D65C08" w:rsidRDefault="00D65C08" w:rsidP="00CD0BD5"/>
    <w:p w:rsidR="000A48DB" w:rsidRDefault="000A48DB" w:rsidP="00CD0BD5">
      <w:r>
        <w:t xml:space="preserve">Boundary Commission for Northern Ireland </w:t>
      </w:r>
    </w:p>
    <w:p w:rsidR="000A48DB" w:rsidRDefault="000A48DB" w:rsidP="00CD0BD5">
      <w:r>
        <w:t>The Bungalow</w:t>
      </w:r>
    </w:p>
    <w:p w:rsidR="009F494D" w:rsidRDefault="000A48DB" w:rsidP="009F494D">
      <w:pPr>
        <w:tabs>
          <w:tab w:val="left" w:pos="5920"/>
        </w:tabs>
      </w:pPr>
      <w:r>
        <w:t>Stormont House</w:t>
      </w:r>
    </w:p>
    <w:p w:rsidR="000A48DB" w:rsidRDefault="000A48DB" w:rsidP="009F494D">
      <w:pPr>
        <w:tabs>
          <w:tab w:val="left" w:pos="5920"/>
        </w:tabs>
      </w:pPr>
      <w:r>
        <w:t>Stormont Estate</w:t>
      </w:r>
    </w:p>
    <w:p w:rsidR="000A48DB" w:rsidRDefault="000A48DB" w:rsidP="00CD0BD5">
      <w:r>
        <w:t>Belfast</w:t>
      </w:r>
    </w:p>
    <w:p w:rsidR="000A48DB" w:rsidRDefault="000A48DB" w:rsidP="00CD0BD5">
      <w:r>
        <w:t>BT4 3SH</w:t>
      </w:r>
    </w:p>
    <w:p w:rsidR="000A48DB" w:rsidRDefault="000A48DB" w:rsidP="00CD0BD5"/>
    <w:p w:rsidR="00D65C08" w:rsidRDefault="000A48DB" w:rsidP="00CD0BD5">
      <w:pPr>
        <w:rPr>
          <w:rStyle w:val="Hyperlink"/>
          <w:szCs w:val="24"/>
        </w:rPr>
      </w:pPr>
      <w:r>
        <w:t xml:space="preserve">Email: </w:t>
      </w:r>
      <w:hyperlink r:id="rId13" w:history="1">
        <w:r w:rsidRPr="00B22FC9">
          <w:rPr>
            <w:rStyle w:val="Hyperlink"/>
            <w:szCs w:val="24"/>
          </w:rPr>
          <w:t>contact@boundarycommission.org.uk</w:t>
        </w:r>
      </w:hyperlink>
    </w:p>
    <w:p w:rsidR="00D65C08" w:rsidRPr="00D65C08" w:rsidRDefault="00D65C08" w:rsidP="00CD0BD5">
      <w:pPr>
        <w:rPr>
          <w:color w:val="0000FF" w:themeColor="hyperlink"/>
          <w:szCs w:val="24"/>
          <w:u w:val="single"/>
        </w:rPr>
      </w:pPr>
      <w:r>
        <w:rPr>
          <w:rStyle w:val="Hyperlink"/>
          <w:szCs w:val="24"/>
        </w:rPr>
        <w:br w:type="page"/>
      </w:r>
    </w:p>
    <w:sdt>
      <w:sdtPr>
        <w:rPr>
          <w:rFonts w:ascii="Arial" w:hAnsi="Arial" w:cstheme="minorBidi"/>
          <w:b w:val="0"/>
          <w:color w:val="auto"/>
          <w:sz w:val="24"/>
          <w:szCs w:val="22"/>
          <w:lang w:val="en-GB"/>
        </w:rPr>
        <w:id w:val="1102372094"/>
        <w:docPartObj>
          <w:docPartGallery w:val="Table of Contents"/>
          <w:docPartUnique/>
        </w:docPartObj>
      </w:sdtPr>
      <w:sdtEndPr>
        <w:rPr>
          <w:bCs/>
          <w:noProof/>
        </w:rPr>
      </w:sdtEndPr>
      <w:sdtContent>
        <w:p w:rsidR="00154777" w:rsidRPr="00CD0BD5" w:rsidRDefault="00154777">
          <w:pPr>
            <w:pStyle w:val="TOCHeading"/>
            <w:rPr>
              <w:rStyle w:val="Heading1Char"/>
              <w:b/>
            </w:rPr>
          </w:pPr>
          <w:r w:rsidRPr="00CD0BD5">
            <w:rPr>
              <w:rStyle w:val="Heading1Char"/>
              <w:b/>
            </w:rPr>
            <w:t>Table of Contents</w:t>
          </w:r>
        </w:p>
        <w:p w:rsidR="00CA1189" w:rsidRDefault="00154777">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82682171" w:history="1">
            <w:r w:rsidR="00CA1189" w:rsidRPr="008D0938">
              <w:rPr>
                <w:rStyle w:val="Hyperlink"/>
                <w:b/>
                <w:noProof/>
              </w:rPr>
              <w:t>Section 1: Deputy Chairman’s Repor</w:t>
            </w:r>
            <w:r w:rsidR="00CA1189" w:rsidRPr="00BE60AE">
              <w:rPr>
                <w:rStyle w:val="Hyperlink"/>
                <w:noProof/>
              </w:rPr>
              <w:t>t</w:t>
            </w:r>
            <w:r w:rsidR="00CA1189">
              <w:rPr>
                <w:noProof/>
                <w:webHidden/>
              </w:rPr>
              <w:tab/>
            </w:r>
            <w:r w:rsidR="00CA1189">
              <w:rPr>
                <w:noProof/>
                <w:webHidden/>
              </w:rPr>
              <w:fldChar w:fldCharType="begin"/>
            </w:r>
            <w:r w:rsidR="00CA1189">
              <w:rPr>
                <w:noProof/>
                <w:webHidden/>
              </w:rPr>
              <w:instrText xml:space="preserve"> PAGEREF _Toc82682171 \h </w:instrText>
            </w:r>
            <w:r w:rsidR="00CA1189">
              <w:rPr>
                <w:noProof/>
                <w:webHidden/>
              </w:rPr>
            </w:r>
            <w:r w:rsidR="00CA1189">
              <w:rPr>
                <w:noProof/>
                <w:webHidden/>
              </w:rPr>
              <w:fldChar w:fldCharType="separate"/>
            </w:r>
            <w:r w:rsidR="00CA1189">
              <w:rPr>
                <w:noProof/>
                <w:webHidden/>
              </w:rPr>
              <w:t>4</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172" w:history="1">
            <w:r w:rsidR="00CA1189" w:rsidRPr="008D0938">
              <w:rPr>
                <w:rStyle w:val="Hyperlink"/>
                <w:b/>
                <w:noProof/>
              </w:rPr>
              <w:t>Section 2: The Commission</w:t>
            </w:r>
            <w:r w:rsidR="00CA1189">
              <w:rPr>
                <w:noProof/>
                <w:webHidden/>
              </w:rPr>
              <w:tab/>
            </w:r>
            <w:r w:rsidR="00CA1189">
              <w:rPr>
                <w:noProof/>
                <w:webHidden/>
              </w:rPr>
              <w:fldChar w:fldCharType="begin"/>
            </w:r>
            <w:r w:rsidR="00CA1189">
              <w:rPr>
                <w:noProof/>
                <w:webHidden/>
              </w:rPr>
              <w:instrText xml:space="preserve"> PAGEREF _Toc82682172 \h </w:instrText>
            </w:r>
            <w:r w:rsidR="00CA1189">
              <w:rPr>
                <w:noProof/>
                <w:webHidden/>
              </w:rPr>
            </w:r>
            <w:r w:rsidR="00CA1189">
              <w:rPr>
                <w:noProof/>
                <w:webHidden/>
              </w:rPr>
              <w:fldChar w:fldCharType="separate"/>
            </w:r>
            <w:r w:rsidR="00CA1189">
              <w:rPr>
                <w:noProof/>
                <w:webHidden/>
              </w:rPr>
              <w:t>5</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73" w:history="1">
            <w:r w:rsidR="00CA1189" w:rsidRPr="00BE60AE">
              <w:rPr>
                <w:rStyle w:val="Hyperlink"/>
                <w:noProof/>
              </w:rPr>
              <w:t>2.1 Background</w:t>
            </w:r>
            <w:r w:rsidR="00CA1189">
              <w:rPr>
                <w:noProof/>
                <w:webHidden/>
              </w:rPr>
              <w:tab/>
            </w:r>
            <w:r w:rsidR="00CA1189">
              <w:rPr>
                <w:noProof/>
                <w:webHidden/>
              </w:rPr>
              <w:fldChar w:fldCharType="begin"/>
            </w:r>
            <w:r w:rsidR="00CA1189">
              <w:rPr>
                <w:noProof/>
                <w:webHidden/>
              </w:rPr>
              <w:instrText xml:space="preserve"> PAGEREF _Toc82682173 \h </w:instrText>
            </w:r>
            <w:r w:rsidR="00CA1189">
              <w:rPr>
                <w:noProof/>
                <w:webHidden/>
              </w:rPr>
            </w:r>
            <w:r w:rsidR="00CA1189">
              <w:rPr>
                <w:noProof/>
                <w:webHidden/>
              </w:rPr>
              <w:fldChar w:fldCharType="separate"/>
            </w:r>
            <w:r w:rsidR="00CA1189">
              <w:rPr>
                <w:noProof/>
                <w:webHidden/>
              </w:rPr>
              <w:t>5</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74" w:history="1">
            <w:r w:rsidR="00CA1189" w:rsidRPr="00BE60AE">
              <w:rPr>
                <w:rStyle w:val="Hyperlink"/>
                <w:noProof/>
              </w:rPr>
              <w:t>2.2 Membership</w:t>
            </w:r>
            <w:r w:rsidR="00CA1189">
              <w:rPr>
                <w:noProof/>
                <w:webHidden/>
              </w:rPr>
              <w:tab/>
            </w:r>
            <w:r w:rsidR="00CA1189">
              <w:rPr>
                <w:noProof/>
                <w:webHidden/>
              </w:rPr>
              <w:fldChar w:fldCharType="begin"/>
            </w:r>
            <w:r w:rsidR="00CA1189">
              <w:rPr>
                <w:noProof/>
                <w:webHidden/>
              </w:rPr>
              <w:instrText xml:space="preserve"> PAGEREF _Toc82682174 \h </w:instrText>
            </w:r>
            <w:r w:rsidR="00CA1189">
              <w:rPr>
                <w:noProof/>
                <w:webHidden/>
              </w:rPr>
            </w:r>
            <w:r w:rsidR="00CA1189">
              <w:rPr>
                <w:noProof/>
                <w:webHidden/>
              </w:rPr>
              <w:fldChar w:fldCharType="separate"/>
            </w:r>
            <w:r w:rsidR="00CA1189">
              <w:rPr>
                <w:noProof/>
                <w:webHidden/>
              </w:rPr>
              <w:t>5</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75" w:history="1">
            <w:r w:rsidR="00CA1189" w:rsidRPr="00BE60AE">
              <w:rPr>
                <w:rStyle w:val="Hyperlink"/>
                <w:noProof/>
              </w:rPr>
              <w:t>2.3 Meetings</w:t>
            </w:r>
            <w:r w:rsidR="00CA1189">
              <w:rPr>
                <w:noProof/>
                <w:webHidden/>
              </w:rPr>
              <w:tab/>
            </w:r>
            <w:r w:rsidR="00CA1189">
              <w:rPr>
                <w:noProof/>
                <w:webHidden/>
              </w:rPr>
              <w:fldChar w:fldCharType="begin"/>
            </w:r>
            <w:r w:rsidR="00CA1189">
              <w:rPr>
                <w:noProof/>
                <w:webHidden/>
              </w:rPr>
              <w:instrText xml:space="preserve"> PAGEREF _Toc82682175 \h </w:instrText>
            </w:r>
            <w:r w:rsidR="00CA1189">
              <w:rPr>
                <w:noProof/>
                <w:webHidden/>
              </w:rPr>
            </w:r>
            <w:r w:rsidR="00CA1189">
              <w:rPr>
                <w:noProof/>
                <w:webHidden/>
              </w:rPr>
              <w:fldChar w:fldCharType="separate"/>
            </w:r>
            <w:r w:rsidR="00CA1189">
              <w:rPr>
                <w:noProof/>
                <w:webHidden/>
              </w:rPr>
              <w:t>6</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76" w:history="1">
            <w:r w:rsidR="00CA1189" w:rsidRPr="00BE60AE">
              <w:rPr>
                <w:rStyle w:val="Hyperlink"/>
                <w:noProof/>
              </w:rPr>
              <w:t>2.4 Code of Practice</w:t>
            </w:r>
            <w:r w:rsidR="00CA1189">
              <w:rPr>
                <w:noProof/>
                <w:webHidden/>
              </w:rPr>
              <w:tab/>
            </w:r>
            <w:r w:rsidR="00CA1189">
              <w:rPr>
                <w:noProof/>
                <w:webHidden/>
              </w:rPr>
              <w:fldChar w:fldCharType="begin"/>
            </w:r>
            <w:r w:rsidR="00CA1189">
              <w:rPr>
                <w:noProof/>
                <w:webHidden/>
              </w:rPr>
              <w:instrText xml:space="preserve"> PAGEREF _Toc82682176 \h </w:instrText>
            </w:r>
            <w:r w:rsidR="00CA1189">
              <w:rPr>
                <w:noProof/>
                <w:webHidden/>
              </w:rPr>
            </w:r>
            <w:r w:rsidR="00CA1189">
              <w:rPr>
                <w:noProof/>
                <w:webHidden/>
              </w:rPr>
              <w:fldChar w:fldCharType="separate"/>
            </w:r>
            <w:r w:rsidR="00CA1189">
              <w:rPr>
                <w:noProof/>
                <w:webHidden/>
              </w:rPr>
              <w:t>6</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77" w:history="1">
            <w:r w:rsidR="00CA1189" w:rsidRPr="00BE60AE">
              <w:rPr>
                <w:rStyle w:val="Hyperlink"/>
                <w:noProof/>
              </w:rPr>
              <w:t>2.5 Register of Members’ Interests</w:t>
            </w:r>
            <w:r w:rsidR="00CA1189">
              <w:rPr>
                <w:noProof/>
                <w:webHidden/>
              </w:rPr>
              <w:tab/>
            </w:r>
            <w:r w:rsidR="00CA1189">
              <w:rPr>
                <w:noProof/>
                <w:webHidden/>
              </w:rPr>
              <w:fldChar w:fldCharType="begin"/>
            </w:r>
            <w:r w:rsidR="00CA1189">
              <w:rPr>
                <w:noProof/>
                <w:webHidden/>
              </w:rPr>
              <w:instrText xml:space="preserve"> PAGEREF _Toc82682177 \h </w:instrText>
            </w:r>
            <w:r w:rsidR="00CA1189">
              <w:rPr>
                <w:noProof/>
                <w:webHidden/>
              </w:rPr>
            </w:r>
            <w:r w:rsidR="00CA1189">
              <w:rPr>
                <w:noProof/>
                <w:webHidden/>
              </w:rPr>
              <w:fldChar w:fldCharType="separate"/>
            </w:r>
            <w:r w:rsidR="00CA1189">
              <w:rPr>
                <w:noProof/>
                <w:webHidden/>
              </w:rPr>
              <w:t>6</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78" w:history="1">
            <w:r w:rsidR="00CA1189" w:rsidRPr="00BE60AE">
              <w:rPr>
                <w:rStyle w:val="Hyperlink"/>
                <w:noProof/>
              </w:rPr>
              <w:t>2.6 Secretariat</w:t>
            </w:r>
            <w:r w:rsidR="00CA1189">
              <w:rPr>
                <w:noProof/>
                <w:webHidden/>
              </w:rPr>
              <w:tab/>
            </w:r>
            <w:r w:rsidR="00CA1189">
              <w:rPr>
                <w:noProof/>
                <w:webHidden/>
              </w:rPr>
              <w:fldChar w:fldCharType="begin"/>
            </w:r>
            <w:r w:rsidR="00CA1189">
              <w:rPr>
                <w:noProof/>
                <w:webHidden/>
              </w:rPr>
              <w:instrText xml:space="preserve"> PAGEREF _Toc82682178 \h </w:instrText>
            </w:r>
            <w:r w:rsidR="00CA1189">
              <w:rPr>
                <w:noProof/>
                <w:webHidden/>
              </w:rPr>
            </w:r>
            <w:r w:rsidR="00CA1189">
              <w:rPr>
                <w:noProof/>
                <w:webHidden/>
              </w:rPr>
              <w:fldChar w:fldCharType="separate"/>
            </w:r>
            <w:r w:rsidR="00CA1189">
              <w:rPr>
                <w:noProof/>
                <w:webHidden/>
              </w:rPr>
              <w:t>6</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179" w:history="1">
            <w:r w:rsidR="00CA1189" w:rsidRPr="008D0938">
              <w:rPr>
                <w:rStyle w:val="Hyperlink"/>
                <w:b/>
                <w:noProof/>
              </w:rPr>
              <w:t>Section 3: Governance</w:t>
            </w:r>
            <w:r w:rsidR="00CA1189">
              <w:rPr>
                <w:noProof/>
                <w:webHidden/>
              </w:rPr>
              <w:tab/>
            </w:r>
            <w:r w:rsidR="00CA1189">
              <w:rPr>
                <w:noProof/>
                <w:webHidden/>
              </w:rPr>
              <w:fldChar w:fldCharType="begin"/>
            </w:r>
            <w:r w:rsidR="00CA1189">
              <w:rPr>
                <w:noProof/>
                <w:webHidden/>
              </w:rPr>
              <w:instrText xml:space="preserve"> PAGEREF _Toc82682179 \h </w:instrText>
            </w:r>
            <w:r w:rsidR="00CA1189">
              <w:rPr>
                <w:noProof/>
                <w:webHidden/>
              </w:rPr>
            </w:r>
            <w:r w:rsidR="00CA1189">
              <w:rPr>
                <w:noProof/>
                <w:webHidden/>
              </w:rPr>
              <w:fldChar w:fldCharType="separate"/>
            </w:r>
            <w:r w:rsidR="00CA1189">
              <w:rPr>
                <w:noProof/>
                <w:webHidden/>
              </w:rPr>
              <w:t>7</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0" w:history="1">
            <w:r w:rsidR="00CA1189" w:rsidRPr="00BE60AE">
              <w:rPr>
                <w:rStyle w:val="Hyperlink"/>
                <w:noProof/>
              </w:rPr>
              <w:t>3.1 Legislation</w:t>
            </w:r>
            <w:r w:rsidR="00CA1189">
              <w:rPr>
                <w:noProof/>
                <w:webHidden/>
              </w:rPr>
              <w:tab/>
            </w:r>
            <w:r w:rsidR="00CA1189">
              <w:rPr>
                <w:noProof/>
                <w:webHidden/>
              </w:rPr>
              <w:fldChar w:fldCharType="begin"/>
            </w:r>
            <w:r w:rsidR="00CA1189">
              <w:rPr>
                <w:noProof/>
                <w:webHidden/>
              </w:rPr>
              <w:instrText xml:space="preserve"> PAGEREF _Toc82682180 \h </w:instrText>
            </w:r>
            <w:r w:rsidR="00CA1189">
              <w:rPr>
                <w:noProof/>
                <w:webHidden/>
              </w:rPr>
            </w:r>
            <w:r w:rsidR="00CA1189">
              <w:rPr>
                <w:noProof/>
                <w:webHidden/>
              </w:rPr>
              <w:fldChar w:fldCharType="separate"/>
            </w:r>
            <w:r w:rsidR="00CA1189">
              <w:rPr>
                <w:noProof/>
                <w:webHidden/>
              </w:rPr>
              <w:t>7</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1" w:history="1">
            <w:r w:rsidR="00CA1189" w:rsidRPr="00BE60AE">
              <w:rPr>
                <w:rStyle w:val="Hyperlink"/>
                <w:noProof/>
              </w:rPr>
              <w:t>3.2 Framework Document</w:t>
            </w:r>
            <w:r w:rsidR="00CA1189">
              <w:rPr>
                <w:noProof/>
                <w:webHidden/>
              </w:rPr>
              <w:tab/>
            </w:r>
            <w:r w:rsidR="00CA1189">
              <w:rPr>
                <w:noProof/>
                <w:webHidden/>
              </w:rPr>
              <w:fldChar w:fldCharType="begin"/>
            </w:r>
            <w:r w:rsidR="00CA1189">
              <w:rPr>
                <w:noProof/>
                <w:webHidden/>
              </w:rPr>
              <w:instrText xml:space="preserve"> PAGEREF _Toc82682181 \h </w:instrText>
            </w:r>
            <w:r w:rsidR="00CA1189">
              <w:rPr>
                <w:noProof/>
                <w:webHidden/>
              </w:rPr>
            </w:r>
            <w:r w:rsidR="00CA1189">
              <w:rPr>
                <w:noProof/>
                <w:webHidden/>
              </w:rPr>
              <w:fldChar w:fldCharType="separate"/>
            </w:r>
            <w:r w:rsidR="00CA1189">
              <w:rPr>
                <w:noProof/>
                <w:webHidden/>
              </w:rPr>
              <w:t>7</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2" w:history="1">
            <w:r w:rsidR="00CA1189" w:rsidRPr="00BE60AE">
              <w:rPr>
                <w:rStyle w:val="Hyperlink"/>
                <w:noProof/>
              </w:rPr>
              <w:t>3.3 Data Protection</w:t>
            </w:r>
            <w:r w:rsidR="00CA1189">
              <w:rPr>
                <w:noProof/>
                <w:webHidden/>
              </w:rPr>
              <w:tab/>
            </w:r>
            <w:r w:rsidR="00CA1189">
              <w:rPr>
                <w:noProof/>
                <w:webHidden/>
              </w:rPr>
              <w:fldChar w:fldCharType="begin"/>
            </w:r>
            <w:r w:rsidR="00CA1189">
              <w:rPr>
                <w:noProof/>
                <w:webHidden/>
              </w:rPr>
              <w:instrText xml:space="preserve"> PAGEREF _Toc82682182 \h </w:instrText>
            </w:r>
            <w:r w:rsidR="00CA1189">
              <w:rPr>
                <w:noProof/>
                <w:webHidden/>
              </w:rPr>
            </w:r>
            <w:r w:rsidR="00CA1189">
              <w:rPr>
                <w:noProof/>
                <w:webHidden/>
              </w:rPr>
              <w:fldChar w:fldCharType="separate"/>
            </w:r>
            <w:r w:rsidR="00CA1189">
              <w:rPr>
                <w:noProof/>
                <w:webHidden/>
              </w:rPr>
              <w:t>8</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183" w:history="1">
            <w:r w:rsidR="00CA1189" w:rsidRPr="008D0938">
              <w:rPr>
                <w:rStyle w:val="Hyperlink"/>
                <w:b/>
                <w:noProof/>
              </w:rPr>
              <w:t>Section 4: Enquiries and Information</w:t>
            </w:r>
            <w:r w:rsidR="00CA1189">
              <w:rPr>
                <w:noProof/>
                <w:webHidden/>
              </w:rPr>
              <w:tab/>
            </w:r>
            <w:r w:rsidR="00CA1189">
              <w:rPr>
                <w:noProof/>
                <w:webHidden/>
              </w:rPr>
              <w:fldChar w:fldCharType="begin"/>
            </w:r>
            <w:r w:rsidR="00CA1189">
              <w:rPr>
                <w:noProof/>
                <w:webHidden/>
              </w:rPr>
              <w:instrText xml:space="preserve"> PAGEREF _Toc82682183 \h </w:instrText>
            </w:r>
            <w:r w:rsidR="00CA1189">
              <w:rPr>
                <w:noProof/>
                <w:webHidden/>
              </w:rPr>
            </w:r>
            <w:r w:rsidR="00CA1189">
              <w:rPr>
                <w:noProof/>
                <w:webHidden/>
              </w:rPr>
              <w:fldChar w:fldCharType="separate"/>
            </w:r>
            <w:r w:rsidR="00CA1189">
              <w:rPr>
                <w:noProof/>
                <w:webHidden/>
              </w:rPr>
              <w:t>9</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4" w:history="1">
            <w:r w:rsidR="00CA1189" w:rsidRPr="00BE60AE">
              <w:rPr>
                <w:rStyle w:val="Hyperlink"/>
                <w:noProof/>
              </w:rPr>
              <w:t>4.1 Enquiries</w:t>
            </w:r>
            <w:r w:rsidR="00CA1189">
              <w:rPr>
                <w:noProof/>
                <w:webHidden/>
              </w:rPr>
              <w:tab/>
            </w:r>
            <w:r w:rsidR="00CA1189">
              <w:rPr>
                <w:noProof/>
                <w:webHidden/>
              </w:rPr>
              <w:fldChar w:fldCharType="begin"/>
            </w:r>
            <w:r w:rsidR="00CA1189">
              <w:rPr>
                <w:noProof/>
                <w:webHidden/>
              </w:rPr>
              <w:instrText xml:space="preserve"> PAGEREF _Toc82682184 \h </w:instrText>
            </w:r>
            <w:r w:rsidR="00CA1189">
              <w:rPr>
                <w:noProof/>
                <w:webHidden/>
              </w:rPr>
            </w:r>
            <w:r w:rsidR="00CA1189">
              <w:rPr>
                <w:noProof/>
                <w:webHidden/>
              </w:rPr>
              <w:fldChar w:fldCharType="separate"/>
            </w:r>
            <w:r w:rsidR="00CA1189">
              <w:rPr>
                <w:noProof/>
                <w:webHidden/>
              </w:rPr>
              <w:t>9</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5" w:history="1">
            <w:r w:rsidR="00CA1189" w:rsidRPr="00BE60AE">
              <w:rPr>
                <w:rStyle w:val="Hyperlink"/>
                <w:noProof/>
              </w:rPr>
              <w:t>4.2 Website</w:t>
            </w:r>
            <w:r w:rsidR="00CA1189">
              <w:rPr>
                <w:noProof/>
                <w:webHidden/>
              </w:rPr>
              <w:tab/>
            </w:r>
            <w:r w:rsidR="00CA1189">
              <w:rPr>
                <w:noProof/>
                <w:webHidden/>
              </w:rPr>
              <w:fldChar w:fldCharType="begin"/>
            </w:r>
            <w:r w:rsidR="00CA1189">
              <w:rPr>
                <w:noProof/>
                <w:webHidden/>
              </w:rPr>
              <w:instrText xml:space="preserve"> PAGEREF _Toc82682185 \h </w:instrText>
            </w:r>
            <w:r w:rsidR="00CA1189">
              <w:rPr>
                <w:noProof/>
                <w:webHidden/>
              </w:rPr>
            </w:r>
            <w:r w:rsidR="00CA1189">
              <w:rPr>
                <w:noProof/>
                <w:webHidden/>
              </w:rPr>
              <w:fldChar w:fldCharType="separate"/>
            </w:r>
            <w:r w:rsidR="00CA1189">
              <w:rPr>
                <w:noProof/>
                <w:webHidden/>
              </w:rPr>
              <w:t>9</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186" w:history="1">
            <w:r w:rsidR="00CA1189" w:rsidRPr="008D0938">
              <w:rPr>
                <w:rStyle w:val="Hyperlink"/>
                <w:b/>
                <w:noProof/>
              </w:rPr>
              <w:t>Section 5: The 2023 Review of Parliamentary Constituencies</w:t>
            </w:r>
            <w:r w:rsidR="00CA1189">
              <w:rPr>
                <w:noProof/>
                <w:webHidden/>
              </w:rPr>
              <w:tab/>
            </w:r>
            <w:r w:rsidR="00CA1189">
              <w:rPr>
                <w:noProof/>
                <w:webHidden/>
              </w:rPr>
              <w:fldChar w:fldCharType="begin"/>
            </w:r>
            <w:r w:rsidR="00CA1189">
              <w:rPr>
                <w:noProof/>
                <w:webHidden/>
              </w:rPr>
              <w:instrText xml:space="preserve"> PAGEREF _Toc82682186 \h </w:instrText>
            </w:r>
            <w:r w:rsidR="00CA1189">
              <w:rPr>
                <w:noProof/>
                <w:webHidden/>
              </w:rPr>
            </w:r>
            <w:r w:rsidR="00CA1189">
              <w:rPr>
                <w:noProof/>
                <w:webHidden/>
              </w:rPr>
              <w:fldChar w:fldCharType="separate"/>
            </w:r>
            <w:r w:rsidR="00CA1189">
              <w:rPr>
                <w:noProof/>
                <w:webHidden/>
              </w:rPr>
              <w:t>10</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7" w:history="1">
            <w:r w:rsidR="00CA1189" w:rsidRPr="00BE60AE">
              <w:rPr>
                <w:rStyle w:val="Hyperlink"/>
                <w:noProof/>
              </w:rPr>
              <w:t>5.1 The 2023 Review</w:t>
            </w:r>
            <w:r w:rsidR="00CA1189">
              <w:rPr>
                <w:noProof/>
                <w:webHidden/>
              </w:rPr>
              <w:tab/>
            </w:r>
            <w:r w:rsidR="00CA1189">
              <w:rPr>
                <w:noProof/>
                <w:webHidden/>
              </w:rPr>
              <w:fldChar w:fldCharType="begin"/>
            </w:r>
            <w:r w:rsidR="00CA1189">
              <w:rPr>
                <w:noProof/>
                <w:webHidden/>
              </w:rPr>
              <w:instrText xml:space="preserve"> PAGEREF _Toc82682187 \h </w:instrText>
            </w:r>
            <w:r w:rsidR="00CA1189">
              <w:rPr>
                <w:noProof/>
                <w:webHidden/>
              </w:rPr>
            </w:r>
            <w:r w:rsidR="00CA1189">
              <w:rPr>
                <w:noProof/>
                <w:webHidden/>
              </w:rPr>
              <w:fldChar w:fldCharType="separate"/>
            </w:r>
            <w:r w:rsidR="00CA1189">
              <w:rPr>
                <w:noProof/>
                <w:webHidden/>
              </w:rPr>
              <w:t>10</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8" w:history="1">
            <w:r w:rsidR="00CA1189" w:rsidRPr="00BE60AE">
              <w:rPr>
                <w:rStyle w:val="Hyperlink"/>
                <w:noProof/>
              </w:rPr>
              <w:t>5.2 Impact of the Parliamentary Constituencies Act 2020</w:t>
            </w:r>
            <w:r w:rsidR="00CA1189">
              <w:rPr>
                <w:noProof/>
                <w:webHidden/>
              </w:rPr>
              <w:tab/>
            </w:r>
            <w:r w:rsidR="00CA1189">
              <w:rPr>
                <w:noProof/>
                <w:webHidden/>
              </w:rPr>
              <w:fldChar w:fldCharType="begin"/>
            </w:r>
            <w:r w:rsidR="00CA1189">
              <w:rPr>
                <w:noProof/>
                <w:webHidden/>
              </w:rPr>
              <w:instrText xml:space="preserve"> PAGEREF _Toc82682188 \h </w:instrText>
            </w:r>
            <w:r w:rsidR="00CA1189">
              <w:rPr>
                <w:noProof/>
                <w:webHidden/>
              </w:rPr>
            </w:r>
            <w:r w:rsidR="00CA1189">
              <w:rPr>
                <w:noProof/>
                <w:webHidden/>
              </w:rPr>
              <w:fldChar w:fldCharType="separate"/>
            </w:r>
            <w:r w:rsidR="00CA1189">
              <w:rPr>
                <w:noProof/>
                <w:webHidden/>
              </w:rPr>
              <w:t>10</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89" w:history="1">
            <w:r w:rsidR="00CA1189" w:rsidRPr="00BE60AE">
              <w:rPr>
                <w:rStyle w:val="Hyperlink"/>
                <w:noProof/>
              </w:rPr>
              <w:t>5.3 The Guide to the 2023 Review</w:t>
            </w:r>
            <w:r w:rsidR="00CA1189">
              <w:rPr>
                <w:noProof/>
                <w:webHidden/>
              </w:rPr>
              <w:tab/>
            </w:r>
            <w:r w:rsidR="00CA1189">
              <w:rPr>
                <w:noProof/>
                <w:webHidden/>
              </w:rPr>
              <w:fldChar w:fldCharType="begin"/>
            </w:r>
            <w:r w:rsidR="00CA1189">
              <w:rPr>
                <w:noProof/>
                <w:webHidden/>
              </w:rPr>
              <w:instrText xml:space="preserve"> PAGEREF _Toc82682189 \h </w:instrText>
            </w:r>
            <w:r w:rsidR="00CA1189">
              <w:rPr>
                <w:noProof/>
                <w:webHidden/>
              </w:rPr>
            </w:r>
            <w:r w:rsidR="00CA1189">
              <w:rPr>
                <w:noProof/>
                <w:webHidden/>
              </w:rPr>
              <w:fldChar w:fldCharType="separate"/>
            </w:r>
            <w:r w:rsidR="00CA1189">
              <w:rPr>
                <w:noProof/>
                <w:webHidden/>
              </w:rPr>
              <w:t>10</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190" w:history="1">
            <w:r w:rsidR="00CA1189" w:rsidRPr="008D0938">
              <w:rPr>
                <w:rStyle w:val="Hyperlink"/>
                <w:b/>
                <w:noProof/>
              </w:rPr>
              <w:t>Section 6: Other activities</w:t>
            </w:r>
            <w:r w:rsidR="00CA1189">
              <w:rPr>
                <w:noProof/>
                <w:webHidden/>
              </w:rPr>
              <w:tab/>
            </w:r>
            <w:r w:rsidR="00CA1189">
              <w:rPr>
                <w:noProof/>
                <w:webHidden/>
              </w:rPr>
              <w:fldChar w:fldCharType="begin"/>
            </w:r>
            <w:r w:rsidR="00CA1189">
              <w:rPr>
                <w:noProof/>
                <w:webHidden/>
              </w:rPr>
              <w:instrText xml:space="preserve"> PAGEREF _Toc82682190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91" w:history="1">
            <w:r w:rsidR="00CA1189" w:rsidRPr="00BE60AE">
              <w:rPr>
                <w:rStyle w:val="Hyperlink"/>
                <w:noProof/>
              </w:rPr>
              <w:t>6.1 Accommodation and IT provision</w:t>
            </w:r>
            <w:r w:rsidR="00CA1189">
              <w:rPr>
                <w:noProof/>
                <w:webHidden/>
              </w:rPr>
              <w:tab/>
            </w:r>
            <w:r w:rsidR="00CA1189">
              <w:rPr>
                <w:noProof/>
                <w:webHidden/>
              </w:rPr>
              <w:fldChar w:fldCharType="begin"/>
            </w:r>
            <w:r w:rsidR="00CA1189">
              <w:rPr>
                <w:noProof/>
                <w:webHidden/>
              </w:rPr>
              <w:instrText xml:space="preserve"> PAGEREF _Toc82682191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92" w:history="1">
            <w:r w:rsidR="00CA1189" w:rsidRPr="00BE60AE">
              <w:rPr>
                <w:rStyle w:val="Hyperlink"/>
                <w:noProof/>
              </w:rPr>
              <w:t>6.2 Risk Management</w:t>
            </w:r>
            <w:r w:rsidR="00CA1189">
              <w:rPr>
                <w:noProof/>
                <w:webHidden/>
              </w:rPr>
              <w:tab/>
            </w:r>
            <w:r w:rsidR="00CA1189">
              <w:rPr>
                <w:noProof/>
                <w:webHidden/>
              </w:rPr>
              <w:fldChar w:fldCharType="begin"/>
            </w:r>
            <w:r w:rsidR="00CA1189">
              <w:rPr>
                <w:noProof/>
                <w:webHidden/>
              </w:rPr>
              <w:instrText xml:space="preserve"> PAGEREF _Toc82682192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93" w:history="1">
            <w:r w:rsidR="00CA1189" w:rsidRPr="00BE60AE">
              <w:rPr>
                <w:rStyle w:val="Hyperlink"/>
                <w:noProof/>
              </w:rPr>
              <w:t>6.3 Staffing and training</w:t>
            </w:r>
            <w:r w:rsidR="00CA1189">
              <w:rPr>
                <w:noProof/>
                <w:webHidden/>
              </w:rPr>
              <w:tab/>
            </w:r>
            <w:r w:rsidR="00CA1189">
              <w:rPr>
                <w:noProof/>
                <w:webHidden/>
              </w:rPr>
              <w:fldChar w:fldCharType="begin"/>
            </w:r>
            <w:r w:rsidR="00CA1189">
              <w:rPr>
                <w:noProof/>
                <w:webHidden/>
              </w:rPr>
              <w:instrText xml:space="preserve"> PAGEREF _Toc82682193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2"/>
            <w:tabs>
              <w:tab w:val="right" w:leader="dot" w:pos="9016"/>
            </w:tabs>
            <w:rPr>
              <w:rFonts w:cstheme="minorBidi"/>
              <w:noProof/>
              <w:lang w:val="en-GB" w:eastAsia="en-GB"/>
            </w:rPr>
          </w:pPr>
          <w:hyperlink w:anchor="_Toc82682194" w:history="1">
            <w:r w:rsidR="00CA1189" w:rsidRPr="00BE60AE">
              <w:rPr>
                <w:rStyle w:val="Hyperlink"/>
                <w:noProof/>
              </w:rPr>
              <w:t>6.4 Liaison with others</w:t>
            </w:r>
            <w:r w:rsidR="00CA1189">
              <w:rPr>
                <w:noProof/>
                <w:webHidden/>
              </w:rPr>
              <w:tab/>
            </w:r>
            <w:r w:rsidR="00CA1189">
              <w:rPr>
                <w:noProof/>
                <w:webHidden/>
              </w:rPr>
              <w:fldChar w:fldCharType="begin"/>
            </w:r>
            <w:r w:rsidR="00CA1189">
              <w:rPr>
                <w:noProof/>
                <w:webHidden/>
              </w:rPr>
              <w:instrText xml:space="preserve"> PAGEREF _Toc82682194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3"/>
            <w:tabs>
              <w:tab w:val="right" w:leader="dot" w:pos="9016"/>
            </w:tabs>
            <w:rPr>
              <w:rFonts w:cstheme="minorBidi"/>
              <w:noProof/>
              <w:lang w:val="en-GB" w:eastAsia="en-GB"/>
            </w:rPr>
          </w:pPr>
          <w:hyperlink w:anchor="_Toc82682195" w:history="1">
            <w:r w:rsidR="00CA1189" w:rsidRPr="00BE60AE">
              <w:rPr>
                <w:rStyle w:val="Hyperlink"/>
                <w:noProof/>
              </w:rPr>
              <w:t>6.4.1 Northern Ireland Office</w:t>
            </w:r>
            <w:r w:rsidR="00CA1189">
              <w:rPr>
                <w:noProof/>
                <w:webHidden/>
              </w:rPr>
              <w:tab/>
            </w:r>
            <w:r w:rsidR="00CA1189">
              <w:rPr>
                <w:noProof/>
                <w:webHidden/>
              </w:rPr>
              <w:fldChar w:fldCharType="begin"/>
            </w:r>
            <w:r w:rsidR="00CA1189">
              <w:rPr>
                <w:noProof/>
                <w:webHidden/>
              </w:rPr>
              <w:instrText xml:space="preserve"> PAGEREF _Toc82682195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3"/>
            <w:tabs>
              <w:tab w:val="right" w:leader="dot" w:pos="9016"/>
            </w:tabs>
            <w:rPr>
              <w:rFonts w:cstheme="minorBidi"/>
              <w:noProof/>
              <w:lang w:val="en-GB" w:eastAsia="en-GB"/>
            </w:rPr>
          </w:pPr>
          <w:hyperlink w:anchor="_Toc82682196" w:history="1">
            <w:r w:rsidR="00CA1189" w:rsidRPr="00BE60AE">
              <w:rPr>
                <w:rStyle w:val="Hyperlink"/>
                <w:noProof/>
              </w:rPr>
              <w:t>6.4.2 Other Boundary Commissions</w:t>
            </w:r>
            <w:r w:rsidR="00CA1189">
              <w:rPr>
                <w:noProof/>
                <w:webHidden/>
              </w:rPr>
              <w:tab/>
            </w:r>
            <w:r w:rsidR="00CA1189">
              <w:rPr>
                <w:noProof/>
                <w:webHidden/>
              </w:rPr>
              <w:fldChar w:fldCharType="begin"/>
            </w:r>
            <w:r w:rsidR="00CA1189">
              <w:rPr>
                <w:noProof/>
                <w:webHidden/>
              </w:rPr>
              <w:instrText xml:space="preserve"> PAGEREF _Toc82682196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3"/>
            <w:tabs>
              <w:tab w:val="right" w:leader="dot" w:pos="9016"/>
            </w:tabs>
            <w:rPr>
              <w:rFonts w:cstheme="minorBidi"/>
              <w:noProof/>
              <w:lang w:val="en-GB" w:eastAsia="en-GB"/>
            </w:rPr>
          </w:pPr>
          <w:hyperlink w:anchor="_Toc82682197" w:history="1">
            <w:r w:rsidR="00CA1189" w:rsidRPr="00BE60AE">
              <w:rPr>
                <w:rStyle w:val="Hyperlink"/>
                <w:noProof/>
              </w:rPr>
              <w:t>6.4.3 Land and Property Services</w:t>
            </w:r>
            <w:r w:rsidR="00CA1189">
              <w:rPr>
                <w:noProof/>
                <w:webHidden/>
              </w:rPr>
              <w:tab/>
            </w:r>
            <w:r w:rsidR="00CA1189">
              <w:rPr>
                <w:noProof/>
                <w:webHidden/>
              </w:rPr>
              <w:fldChar w:fldCharType="begin"/>
            </w:r>
            <w:r w:rsidR="00CA1189">
              <w:rPr>
                <w:noProof/>
                <w:webHidden/>
              </w:rPr>
              <w:instrText xml:space="preserve"> PAGEREF _Toc82682197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3"/>
            <w:tabs>
              <w:tab w:val="right" w:leader="dot" w:pos="9016"/>
            </w:tabs>
            <w:rPr>
              <w:rFonts w:cstheme="minorBidi"/>
              <w:noProof/>
              <w:lang w:val="en-GB" w:eastAsia="en-GB"/>
            </w:rPr>
          </w:pPr>
          <w:hyperlink w:anchor="_Toc82682198" w:history="1">
            <w:r w:rsidR="00CA1189" w:rsidRPr="00BE60AE">
              <w:rPr>
                <w:rStyle w:val="Hyperlink"/>
                <w:noProof/>
              </w:rPr>
              <w:t>6.4.4 Northern Ireland Statistics and Research Agency</w:t>
            </w:r>
            <w:r w:rsidR="00CA1189">
              <w:rPr>
                <w:noProof/>
                <w:webHidden/>
              </w:rPr>
              <w:tab/>
            </w:r>
            <w:r w:rsidR="00CA1189">
              <w:rPr>
                <w:noProof/>
                <w:webHidden/>
              </w:rPr>
              <w:fldChar w:fldCharType="begin"/>
            </w:r>
            <w:r w:rsidR="00CA1189">
              <w:rPr>
                <w:noProof/>
                <w:webHidden/>
              </w:rPr>
              <w:instrText xml:space="preserve"> PAGEREF _Toc82682198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3"/>
            <w:tabs>
              <w:tab w:val="right" w:leader="dot" w:pos="9016"/>
            </w:tabs>
            <w:rPr>
              <w:rFonts w:cstheme="minorBidi"/>
              <w:noProof/>
              <w:lang w:val="en-GB" w:eastAsia="en-GB"/>
            </w:rPr>
          </w:pPr>
          <w:hyperlink w:anchor="_Toc82682199" w:history="1">
            <w:r w:rsidR="00CA1189" w:rsidRPr="00BE60AE">
              <w:rPr>
                <w:rStyle w:val="Hyperlink"/>
                <w:noProof/>
              </w:rPr>
              <w:t>6.4.5 The Electoral Office for Northern Ireland</w:t>
            </w:r>
            <w:r w:rsidR="00CA1189">
              <w:rPr>
                <w:noProof/>
                <w:webHidden/>
              </w:rPr>
              <w:tab/>
            </w:r>
            <w:r w:rsidR="00CA1189">
              <w:rPr>
                <w:noProof/>
                <w:webHidden/>
              </w:rPr>
              <w:fldChar w:fldCharType="begin"/>
            </w:r>
            <w:r w:rsidR="00CA1189">
              <w:rPr>
                <w:noProof/>
                <w:webHidden/>
              </w:rPr>
              <w:instrText xml:space="preserve"> PAGEREF _Toc82682199 \h </w:instrText>
            </w:r>
            <w:r w:rsidR="00CA1189">
              <w:rPr>
                <w:noProof/>
                <w:webHidden/>
              </w:rPr>
            </w:r>
            <w:r w:rsidR="00CA1189">
              <w:rPr>
                <w:noProof/>
                <w:webHidden/>
              </w:rPr>
              <w:fldChar w:fldCharType="separate"/>
            </w:r>
            <w:r w:rsidR="00CA1189">
              <w:rPr>
                <w:noProof/>
                <w:webHidden/>
              </w:rPr>
              <w:t>11</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200" w:history="1">
            <w:r w:rsidR="00CA1189" w:rsidRPr="008D0938">
              <w:rPr>
                <w:rStyle w:val="Hyperlink"/>
                <w:b/>
                <w:noProof/>
              </w:rPr>
              <w:t>Section 7: Expenditure</w:t>
            </w:r>
            <w:r w:rsidR="00CA1189">
              <w:rPr>
                <w:noProof/>
                <w:webHidden/>
              </w:rPr>
              <w:tab/>
            </w:r>
            <w:r w:rsidR="00CA1189">
              <w:rPr>
                <w:noProof/>
                <w:webHidden/>
              </w:rPr>
              <w:fldChar w:fldCharType="begin"/>
            </w:r>
            <w:r w:rsidR="00CA1189">
              <w:rPr>
                <w:noProof/>
                <w:webHidden/>
              </w:rPr>
              <w:instrText xml:space="preserve"> PAGEREF _Toc82682200 \h </w:instrText>
            </w:r>
            <w:r w:rsidR="00CA1189">
              <w:rPr>
                <w:noProof/>
                <w:webHidden/>
              </w:rPr>
            </w:r>
            <w:r w:rsidR="00CA1189">
              <w:rPr>
                <w:noProof/>
                <w:webHidden/>
              </w:rPr>
              <w:fldChar w:fldCharType="separate"/>
            </w:r>
            <w:r w:rsidR="00CA1189">
              <w:rPr>
                <w:noProof/>
                <w:webHidden/>
              </w:rPr>
              <w:t>12</w:t>
            </w:r>
            <w:r w:rsidR="00CA1189">
              <w:rPr>
                <w:noProof/>
                <w:webHidden/>
              </w:rPr>
              <w:fldChar w:fldCharType="end"/>
            </w:r>
          </w:hyperlink>
        </w:p>
        <w:p w:rsidR="00CA1189" w:rsidRDefault="003876B7">
          <w:pPr>
            <w:pStyle w:val="TOC1"/>
            <w:tabs>
              <w:tab w:val="right" w:leader="dot" w:pos="9016"/>
            </w:tabs>
            <w:rPr>
              <w:rFonts w:asciiTheme="minorHAnsi" w:eastAsiaTheme="minorEastAsia" w:hAnsiTheme="minorHAnsi"/>
              <w:noProof/>
              <w:sz w:val="22"/>
              <w:lang w:eastAsia="en-GB"/>
            </w:rPr>
          </w:pPr>
          <w:hyperlink w:anchor="_Toc82682201" w:history="1">
            <w:r w:rsidR="00CA1189" w:rsidRPr="008D0938">
              <w:rPr>
                <w:rStyle w:val="Hyperlink"/>
                <w:b/>
                <w:noProof/>
              </w:rPr>
              <w:t>Section 8: Further information</w:t>
            </w:r>
            <w:r w:rsidR="00CA1189">
              <w:rPr>
                <w:noProof/>
                <w:webHidden/>
              </w:rPr>
              <w:tab/>
            </w:r>
            <w:r w:rsidR="00CA1189">
              <w:rPr>
                <w:noProof/>
                <w:webHidden/>
              </w:rPr>
              <w:fldChar w:fldCharType="begin"/>
            </w:r>
            <w:r w:rsidR="00CA1189">
              <w:rPr>
                <w:noProof/>
                <w:webHidden/>
              </w:rPr>
              <w:instrText xml:space="preserve"> PAGEREF _Toc82682201 \h </w:instrText>
            </w:r>
            <w:r w:rsidR="00CA1189">
              <w:rPr>
                <w:noProof/>
                <w:webHidden/>
              </w:rPr>
            </w:r>
            <w:r w:rsidR="00CA1189">
              <w:rPr>
                <w:noProof/>
                <w:webHidden/>
              </w:rPr>
              <w:fldChar w:fldCharType="separate"/>
            </w:r>
            <w:r w:rsidR="00CA1189">
              <w:rPr>
                <w:noProof/>
                <w:webHidden/>
              </w:rPr>
              <w:t>13</w:t>
            </w:r>
            <w:r w:rsidR="00CA1189">
              <w:rPr>
                <w:noProof/>
                <w:webHidden/>
              </w:rPr>
              <w:fldChar w:fldCharType="end"/>
            </w:r>
          </w:hyperlink>
        </w:p>
        <w:p w:rsidR="00154777" w:rsidRDefault="00154777" w:rsidP="00CA1189">
          <w:pPr>
            <w:tabs>
              <w:tab w:val="left" w:pos="3756"/>
            </w:tabs>
          </w:pPr>
          <w:r>
            <w:rPr>
              <w:b/>
              <w:bCs/>
              <w:noProof/>
            </w:rPr>
            <w:fldChar w:fldCharType="end"/>
          </w:r>
          <w:r w:rsidR="00CA1189">
            <w:rPr>
              <w:b/>
              <w:bCs/>
              <w:noProof/>
            </w:rPr>
            <w:tab/>
          </w:r>
        </w:p>
      </w:sdtContent>
    </w:sdt>
    <w:p w:rsidR="000A48DB" w:rsidRPr="00D65C08" w:rsidRDefault="00642167" w:rsidP="00D65C08">
      <w:pPr>
        <w:spacing w:after="200"/>
        <w:rPr>
          <w:rFonts w:cs="Arial"/>
          <w:color w:val="000000"/>
          <w:sz w:val="22"/>
          <w:highlight w:val="yellow"/>
        </w:rPr>
        <w:sectPr w:rsidR="000A48DB" w:rsidRPr="00D65C08" w:rsidSect="00AD6B8F">
          <w:pgSz w:w="11906" w:h="16838" w:code="9"/>
          <w:pgMar w:top="1440" w:right="1440" w:bottom="1440" w:left="1440" w:header="709" w:footer="709" w:gutter="0"/>
          <w:cols w:space="708"/>
          <w:titlePg/>
          <w:docGrid w:linePitch="360"/>
        </w:sectPr>
      </w:pPr>
      <w:r>
        <w:rPr>
          <w:sz w:val="22"/>
          <w:highlight w:val="yellow"/>
        </w:rPr>
        <w:br w:type="page"/>
      </w:r>
    </w:p>
    <w:p w:rsidR="004D4261" w:rsidRPr="00CD0BD5" w:rsidRDefault="00CD0BD5" w:rsidP="00CD0BD5">
      <w:pPr>
        <w:pStyle w:val="Heading1"/>
      </w:pPr>
      <w:bookmarkStart w:id="1" w:name="_Toc82682171"/>
      <w:r w:rsidRPr="00CD0BD5">
        <w:lastRenderedPageBreak/>
        <w:t xml:space="preserve">Section 1: </w:t>
      </w:r>
      <w:r w:rsidR="000C5A02" w:rsidRPr="00CD0BD5">
        <w:t>Deputy Chairman’s Report</w:t>
      </w:r>
      <w:bookmarkEnd w:id="1"/>
    </w:p>
    <w:p w:rsidR="00F8782D" w:rsidRDefault="00F8782D" w:rsidP="006C7BFC">
      <w:r w:rsidRPr="00F8782D">
        <w:t>I am pleased to have the opportunity to introduce this Annual Report, in my first year as Deputy Chairman of the Boundary Commission for Northern Ireland.</w:t>
      </w:r>
    </w:p>
    <w:p w:rsidR="006C7BFC" w:rsidRPr="00F8782D" w:rsidRDefault="006C7BFC" w:rsidP="00BD6AA2"/>
    <w:p w:rsidR="00EF2C3B" w:rsidRDefault="00EF2C3B" w:rsidP="006C7BFC">
      <w:r w:rsidRPr="00EF2C3B">
        <w:t xml:space="preserve">The Boundary Commission commenced the 2023 Review of Parliamentary Constituencies </w:t>
      </w:r>
      <w:r w:rsidR="0024726F">
        <w:t>in</w:t>
      </w:r>
      <w:r w:rsidRPr="00EF2C3B">
        <w:t xml:space="preserve"> January 2021, shortly after the Parliamentary Constituencies Act 2020 received Royal Assent. This Act provide</w:t>
      </w:r>
      <w:r w:rsidR="0024726F">
        <w:t>d</w:t>
      </w:r>
      <w:r w:rsidRPr="00EF2C3B">
        <w:t xml:space="preserve"> for a number of changes to the Review process, as well as bringing the 2018 Review to </w:t>
      </w:r>
      <w:r w:rsidR="006C7BFC">
        <w:t xml:space="preserve">a close without implementation.  </w:t>
      </w:r>
      <w:r w:rsidR="0024726F" w:rsidRPr="0024726F">
        <w:t>In line with that legislation, the four UK Boundary Commissions are required to undertake a new review and submit their final reports with recommendations for Parliamentary constituencies before 1</w:t>
      </w:r>
      <w:r w:rsidR="0024726F" w:rsidRPr="0024726F">
        <w:rPr>
          <w:vertAlign w:val="superscript"/>
        </w:rPr>
        <w:t>st</w:t>
      </w:r>
      <w:r w:rsidR="0024726F" w:rsidRPr="0024726F">
        <w:t> July 2023.</w:t>
      </w:r>
    </w:p>
    <w:p w:rsidR="006C7BFC" w:rsidRDefault="006C7BFC" w:rsidP="006C7BFC"/>
    <w:p w:rsidR="0024726F" w:rsidRDefault="0024726F" w:rsidP="006C7BFC">
      <w:r>
        <w:t>We</w:t>
      </w:r>
      <w:r w:rsidRPr="0024726F">
        <w:t xml:space="preserve"> will develop and publish </w:t>
      </w:r>
      <w:r>
        <w:t xml:space="preserve">our </w:t>
      </w:r>
      <w:r w:rsidRPr="0024726F">
        <w:t xml:space="preserve">proposals, in accordance with the Act (as amended). The public will have opportunities to submit written and oral representations about the published proposals, as part of a structured process. </w:t>
      </w:r>
      <w:r w:rsidR="00F8782D">
        <w:t xml:space="preserve">We </w:t>
      </w:r>
      <w:r w:rsidRPr="0024726F">
        <w:t>will take these representations into account when p</w:t>
      </w:r>
      <w:r>
        <w:t xml:space="preserve">reparing recommendations for our final report. </w:t>
      </w:r>
      <w:r w:rsidRPr="0024726F">
        <w:t>Our initial proposals are planned to be published in autumn 2021, followed by an 8-week statutory consultation period. Further information about the consultation will be published in due course.</w:t>
      </w:r>
    </w:p>
    <w:p w:rsidR="006C7BFC" w:rsidRPr="00EF2C3B" w:rsidRDefault="006C7BFC" w:rsidP="006C7BFC"/>
    <w:p w:rsidR="004A70F7" w:rsidRDefault="00EF2C3B" w:rsidP="006C7BFC">
      <w:r w:rsidRPr="00EF2C3B">
        <w:t xml:space="preserve">I am grateful to my predecessor, the Hon. Madam Justice Denise McBride, for her work with the Commission over the </w:t>
      </w:r>
      <w:r w:rsidRPr="0024726F">
        <w:t xml:space="preserve">last </w:t>
      </w:r>
      <w:r w:rsidR="003F0A71" w:rsidRPr="0024726F">
        <w:t>6 y</w:t>
      </w:r>
      <w:r w:rsidRPr="0024726F">
        <w:t>ears</w:t>
      </w:r>
      <w:r w:rsidRPr="00EF2C3B">
        <w:t xml:space="preserve">, </w:t>
      </w:r>
      <w:r w:rsidR="00345D6C">
        <w:t>and to the Secretariat team who supported that work</w:t>
      </w:r>
      <w:r w:rsidR="00D45A6C">
        <w:t xml:space="preserve">, led by </w:t>
      </w:r>
      <w:r w:rsidR="00D45A6C" w:rsidRPr="00D45A6C">
        <w:t>Secretary Eamonn McConville</w:t>
      </w:r>
      <w:r w:rsidR="00345D6C">
        <w:t xml:space="preserve">. </w:t>
      </w:r>
      <w:r w:rsidRPr="00EF2C3B">
        <w:t xml:space="preserve">I look forward to </w:t>
      </w:r>
      <w:r w:rsidR="0024726F">
        <w:t>progressing</w:t>
      </w:r>
      <w:r w:rsidRPr="00EF2C3B">
        <w:t xml:space="preserve"> the 2023 Review as Deputy Chairman</w:t>
      </w:r>
      <w:r w:rsidR="0024726F">
        <w:t xml:space="preserve">, working with Commissioners Sarah Havlin and </w:t>
      </w:r>
      <w:r w:rsidRPr="00EF2C3B">
        <w:t>Vilma Patterson</w:t>
      </w:r>
      <w:r w:rsidR="00474A33">
        <w:t>,</w:t>
      </w:r>
      <w:r w:rsidR="00D45A6C">
        <w:t xml:space="preserve"> and the</w:t>
      </w:r>
      <w:r w:rsidR="00CF154E">
        <w:t xml:space="preserve"> </w:t>
      </w:r>
      <w:r w:rsidR="00474A33">
        <w:t xml:space="preserve">Commission’s </w:t>
      </w:r>
      <w:r w:rsidR="00CF154E">
        <w:t>Secretariat</w:t>
      </w:r>
      <w:r w:rsidR="0024726F">
        <w:t xml:space="preserve">. </w:t>
      </w:r>
      <w:r w:rsidRPr="00EF2C3B">
        <w:t xml:space="preserve">I </w:t>
      </w:r>
      <w:r w:rsidR="00345D6C">
        <w:t>thank them</w:t>
      </w:r>
      <w:r w:rsidRPr="00EF2C3B">
        <w:t xml:space="preserve"> </w:t>
      </w:r>
      <w:r w:rsidR="00CF154E">
        <w:t xml:space="preserve">all </w:t>
      </w:r>
      <w:r w:rsidRPr="00EF2C3B">
        <w:t xml:space="preserve">for their </w:t>
      </w:r>
      <w:r w:rsidR="004A70F7">
        <w:t>input to this challenging task.</w:t>
      </w:r>
    </w:p>
    <w:p w:rsidR="006C7BFC" w:rsidRDefault="006C7BFC" w:rsidP="006C7BFC"/>
    <w:p w:rsidR="00EF2C3B" w:rsidRDefault="00E85A05" w:rsidP="006C7BFC">
      <w:r>
        <w:t>I would</w:t>
      </w:r>
      <w:r w:rsidR="00EF2C3B" w:rsidRPr="00EF2C3B">
        <w:t xml:space="preserve"> </w:t>
      </w:r>
      <w:r w:rsidR="00345D6C">
        <w:t xml:space="preserve">also </w:t>
      </w:r>
      <w:r w:rsidR="00EF2C3B" w:rsidRPr="00EF2C3B">
        <w:t>like to thank the Commis</w:t>
      </w:r>
      <w:r w:rsidR="00345D6C">
        <w:t>sion’s Assessors and their teams</w:t>
      </w:r>
      <w:r w:rsidR="00EF2C3B" w:rsidRPr="00EF2C3B">
        <w:t>, who have provided i</w:t>
      </w:r>
      <w:r w:rsidR="0024726F">
        <w:t>nvaluable support for the 2023 R</w:t>
      </w:r>
      <w:r w:rsidR="00EF2C3B" w:rsidRPr="00EF2C3B">
        <w:t>eview process to date. In particul</w:t>
      </w:r>
      <w:r w:rsidR="00345D6C">
        <w:t xml:space="preserve">ar, I wish to pay tribute to </w:t>
      </w:r>
      <w:r w:rsidR="00425394">
        <w:t>Alan Brontë,</w:t>
      </w:r>
      <w:r w:rsidR="00425394">
        <w:rPr>
          <w:i/>
          <w:iCs/>
          <w:color w:val="1F497D"/>
        </w:rPr>
        <w:t xml:space="preserve"> </w:t>
      </w:r>
      <w:r w:rsidR="00425394" w:rsidRPr="00425394">
        <w:rPr>
          <w:iCs/>
        </w:rPr>
        <w:t>former Commissione</w:t>
      </w:r>
      <w:r w:rsidR="00425394">
        <w:rPr>
          <w:iCs/>
        </w:rPr>
        <w:t xml:space="preserve">r of Valuation for his </w:t>
      </w:r>
      <w:r w:rsidR="00425394" w:rsidRPr="00425394">
        <w:rPr>
          <w:iCs/>
        </w:rPr>
        <w:t>work with the Commission</w:t>
      </w:r>
      <w:r w:rsidR="00EF2C3B" w:rsidRPr="00EF2C3B">
        <w:t>, and in doing so, I we</w:t>
      </w:r>
      <w:r w:rsidR="00345D6C">
        <w:t xml:space="preserve">lcome his successor, </w:t>
      </w:r>
      <w:r w:rsidR="00EF2C3B" w:rsidRPr="00EF2C3B">
        <w:t>Angela McGrath.</w:t>
      </w:r>
    </w:p>
    <w:p w:rsidR="006C7BFC" w:rsidRPr="00EF2C3B" w:rsidRDefault="006C7BFC" w:rsidP="006C7BFC"/>
    <w:p w:rsidR="00EF2C3B" w:rsidRPr="00345D6C" w:rsidRDefault="00345D6C" w:rsidP="006C7BFC">
      <w:r>
        <w:rPr>
          <w:iCs/>
        </w:rPr>
        <w:t>I would encourage</w:t>
      </w:r>
      <w:r w:rsidRPr="00345D6C">
        <w:rPr>
          <w:iCs/>
        </w:rPr>
        <w:t xml:space="preserve"> everyone with an interest </w:t>
      </w:r>
      <w:r>
        <w:rPr>
          <w:iCs/>
        </w:rPr>
        <w:t xml:space="preserve">in our work </w:t>
      </w:r>
      <w:r w:rsidRPr="00345D6C">
        <w:rPr>
          <w:iCs/>
        </w:rPr>
        <w:t>to participate in the upcoming consultation process and to follow our website and social media channels for mor</w:t>
      </w:r>
      <w:r>
        <w:rPr>
          <w:iCs/>
        </w:rPr>
        <w:t>e updates throughout the review.</w:t>
      </w:r>
    </w:p>
    <w:p w:rsidR="000F7C84" w:rsidRDefault="000F7C84" w:rsidP="00312DF9">
      <w:pPr>
        <w:rPr>
          <w:rFonts w:cs="Arial"/>
          <w:szCs w:val="24"/>
          <w:highlight w:val="yellow"/>
        </w:rPr>
      </w:pPr>
    </w:p>
    <w:p w:rsidR="000F7C84" w:rsidRDefault="000F7C84" w:rsidP="00312DF9">
      <w:pPr>
        <w:rPr>
          <w:rFonts w:cs="Arial"/>
          <w:szCs w:val="24"/>
        </w:rPr>
      </w:pPr>
    </w:p>
    <w:p w:rsidR="000C5A02" w:rsidRPr="0024726F" w:rsidRDefault="008124E7" w:rsidP="00312DF9">
      <w:pPr>
        <w:rPr>
          <w:rFonts w:cs="Arial"/>
          <w:b/>
          <w:szCs w:val="24"/>
        </w:rPr>
      </w:pPr>
      <w:r w:rsidRPr="0024726F">
        <w:rPr>
          <w:rFonts w:cs="Arial"/>
          <w:b/>
          <w:szCs w:val="24"/>
        </w:rPr>
        <w:t>Mr Justice Michael Humph</w:t>
      </w:r>
      <w:r w:rsidR="0083487F" w:rsidRPr="0024726F">
        <w:rPr>
          <w:rFonts w:cs="Arial"/>
          <w:b/>
          <w:szCs w:val="24"/>
        </w:rPr>
        <w:t>r</w:t>
      </w:r>
      <w:r w:rsidRPr="0024726F">
        <w:rPr>
          <w:rFonts w:cs="Arial"/>
          <w:b/>
          <w:szCs w:val="24"/>
        </w:rPr>
        <w:t>eys</w:t>
      </w:r>
    </w:p>
    <w:p w:rsidR="000C5A02" w:rsidRPr="0024726F" w:rsidRDefault="000C5A02" w:rsidP="000C5A02">
      <w:pPr>
        <w:rPr>
          <w:rFonts w:cs="Arial"/>
          <w:b/>
          <w:szCs w:val="24"/>
        </w:rPr>
      </w:pPr>
      <w:r w:rsidRPr="0024726F">
        <w:rPr>
          <w:rFonts w:cs="Arial"/>
          <w:b/>
          <w:szCs w:val="24"/>
        </w:rPr>
        <w:t>Deputy Chairman</w:t>
      </w:r>
    </w:p>
    <w:p w:rsidR="000C5A02" w:rsidRDefault="00CD0BD5" w:rsidP="000C5A02">
      <w:pPr>
        <w:rPr>
          <w:rFonts w:cs="Arial"/>
          <w:b/>
          <w:sz w:val="28"/>
          <w:szCs w:val="24"/>
        </w:rPr>
      </w:pPr>
      <w:r>
        <w:rPr>
          <w:rFonts w:cs="Arial"/>
          <w:szCs w:val="24"/>
        </w:rPr>
        <w:t>7</w:t>
      </w:r>
      <w:r w:rsidR="0024726F" w:rsidRPr="00474A33">
        <w:rPr>
          <w:rFonts w:cs="Arial"/>
          <w:szCs w:val="24"/>
        </w:rPr>
        <w:t xml:space="preserve"> September</w:t>
      </w:r>
      <w:r w:rsidR="00E55D82" w:rsidRPr="00474A33">
        <w:rPr>
          <w:rFonts w:cs="Arial"/>
          <w:szCs w:val="24"/>
        </w:rPr>
        <w:t xml:space="preserve"> 202</w:t>
      </w:r>
      <w:r w:rsidR="008124E7" w:rsidRPr="00474A33">
        <w:rPr>
          <w:rFonts w:cs="Arial"/>
          <w:szCs w:val="24"/>
        </w:rPr>
        <w:t>1</w:t>
      </w:r>
      <w:r w:rsidR="000C5A02" w:rsidRPr="00872FE4">
        <w:rPr>
          <w:rFonts w:cs="Arial"/>
          <w:szCs w:val="24"/>
        </w:rPr>
        <w:t xml:space="preserve"> </w:t>
      </w:r>
      <w:r w:rsidR="000C5A02">
        <w:rPr>
          <w:rFonts w:cs="Arial"/>
          <w:b/>
          <w:sz w:val="28"/>
          <w:szCs w:val="24"/>
        </w:rPr>
        <w:br w:type="page"/>
      </w:r>
    </w:p>
    <w:p w:rsidR="000C5A02" w:rsidRPr="00154777" w:rsidRDefault="00CD0BD5" w:rsidP="00154777">
      <w:pPr>
        <w:pStyle w:val="Heading1"/>
        <w:rPr>
          <w:rStyle w:val="Style3Char"/>
          <w:b/>
        </w:rPr>
      </w:pPr>
      <w:bookmarkStart w:id="2" w:name="_Toc82682172"/>
      <w:r>
        <w:lastRenderedPageBreak/>
        <w:t>Section 2:</w:t>
      </w:r>
      <w:r w:rsidR="000C5A02" w:rsidRPr="00154777">
        <w:t xml:space="preserve"> </w:t>
      </w:r>
      <w:r w:rsidR="000C5A02" w:rsidRPr="00CD0BD5">
        <w:t>The Commission</w:t>
      </w:r>
      <w:bookmarkEnd w:id="2"/>
      <w:r w:rsidR="000C5A02" w:rsidRPr="00154777">
        <w:rPr>
          <w:rStyle w:val="Style3Char"/>
          <w:b/>
        </w:rPr>
        <w:t xml:space="preserve"> </w:t>
      </w:r>
    </w:p>
    <w:p w:rsidR="000C5A02" w:rsidRPr="00727715" w:rsidRDefault="00CD0BD5" w:rsidP="00727715">
      <w:pPr>
        <w:pStyle w:val="Heading2"/>
      </w:pPr>
      <w:bookmarkStart w:id="3" w:name="_Toc82682173"/>
      <w:r>
        <w:t>2</w:t>
      </w:r>
      <w:r w:rsidR="000C5A02" w:rsidRPr="00727715">
        <w:t>.1 Background</w:t>
      </w:r>
      <w:bookmarkEnd w:id="3"/>
    </w:p>
    <w:p w:rsidR="000C5A02" w:rsidRDefault="000C5A02" w:rsidP="006C7BFC">
      <w:r w:rsidRPr="00880A49">
        <w:t>The Bounda</w:t>
      </w:r>
      <w:r w:rsidR="00C901A7">
        <w:t>ry Commission is an independent</w:t>
      </w:r>
      <w:r w:rsidRPr="00880A49">
        <w:t xml:space="preserve"> </w:t>
      </w:r>
      <w:r w:rsidR="00183356" w:rsidRPr="00C731A4">
        <w:t>and impartial public body which is responsible for reviewing Parliamentary constituency boundaries in Northern Ireland on the basis of rules set out in the Parli</w:t>
      </w:r>
      <w:r w:rsidR="0072425E">
        <w:t>amentary Constituencies Act 1986</w:t>
      </w:r>
      <w:r w:rsidR="00183356" w:rsidRPr="00C731A4">
        <w:t xml:space="preserve"> (as amended).</w:t>
      </w:r>
      <w:r w:rsidR="004E782D" w:rsidRPr="00C731A4">
        <w:t xml:space="preserve"> T</w:t>
      </w:r>
      <w:r w:rsidR="00C731A4" w:rsidRPr="00C731A4">
        <w:t>he Boundary Commission is</w:t>
      </w:r>
      <w:r w:rsidR="00183356" w:rsidRPr="00C731A4">
        <w:t xml:space="preserve"> </w:t>
      </w:r>
      <w:r w:rsidR="00C901A7">
        <w:t xml:space="preserve">an </w:t>
      </w:r>
      <w:r w:rsidRPr="00C731A4">
        <w:t xml:space="preserve">advisory non-departmental public body </w:t>
      </w:r>
      <w:r w:rsidR="00C901A7">
        <w:t>of the</w:t>
      </w:r>
      <w:r w:rsidR="009F494D">
        <w:t xml:space="preserve"> Northern Ireland Office.</w:t>
      </w:r>
    </w:p>
    <w:p w:rsidR="00C901A7" w:rsidRPr="00C901A7" w:rsidRDefault="00C901A7" w:rsidP="00C901A7">
      <w:pPr>
        <w:pStyle w:val="ListParagraph"/>
        <w:autoSpaceDE w:val="0"/>
        <w:autoSpaceDN w:val="0"/>
        <w:adjustRightInd w:val="0"/>
        <w:ind w:left="0"/>
        <w:contextualSpacing w:val="0"/>
        <w:jc w:val="both"/>
      </w:pPr>
    </w:p>
    <w:p w:rsidR="000C5A02" w:rsidRPr="00A10E81" w:rsidRDefault="00CD0BD5" w:rsidP="00727715">
      <w:pPr>
        <w:pStyle w:val="Heading2"/>
      </w:pPr>
      <w:bookmarkStart w:id="4" w:name="_Toc82682174"/>
      <w:r>
        <w:t>2</w:t>
      </w:r>
      <w:r w:rsidR="000C5A02" w:rsidRPr="00A10E81">
        <w:t>.2 Membership</w:t>
      </w:r>
      <w:bookmarkEnd w:id="4"/>
    </w:p>
    <w:p w:rsidR="00841FBC" w:rsidRDefault="000C5A02" w:rsidP="0098296D">
      <w:r w:rsidRPr="00880A49">
        <w:t>Appointments to the Commission are made under Schedule 1 of the Parliamentary Constituencies Act 1986</w:t>
      </w:r>
      <w:r w:rsidR="0008017B">
        <w:t>, as amended</w:t>
      </w:r>
      <w:r w:rsidR="00DD13AF">
        <w:t>.</w:t>
      </w:r>
      <w:r w:rsidRPr="00880A49">
        <w:t xml:space="preserve"> </w:t>
      </w:r>
      <w:r w:rsidR="00DD13AF" w:rsidRPr="00DD13AF">
        <w:t>The 1986 Act specifies that the Commission’s membership comprises a Chairman, Deputy C</w:t>
      </w:r>
      <w:r w:rsidR="00841FBC">
        <w:t>hairman and two further Members.</w:t>
      </w:r>
    </w:p>
    <w:p w:rsidR="00841FBC" w:rsidRDefault="00841FBC" w:rsidP="0098296D"/>
    <w:p w:rsidR="0098296D" w:rsidRDefault="00DD13AF" w:rsidP="0098296D">
      <w:r w:rsidRPr="00DD13AF">
        <w:t xml:space="preserve">The </w:t>
      </w:r>
      <w:r w:rsidR="00E55D82">
        <w:t xml:space="preserve">ex-officio </w:t>
      </w:r>
      <w:r w:rsidRPr="00DD13AF">
        <w:t xml:space="preserve">Chairman </w:t>
      </w:r>
      <w:r w:rsidR="0008017B">
        <w:t xml:space="preserve">for all four UK Boundary Commissions </w:t>
      </w:r>
      <w:r w:rsidRPr="00DD13AF">
        <w:t>is the Speaker of the House of Commons</w:t>
      </w:r>
      <w:r w:rsidR="00C901A7">
        <w:t xml:space="preserve">, although in </w:t>
      </w:r>
      <w:r w:rsidR="00E55D82">
        <w:t xml:space="preserve">practice the Chairman takes no active part in the business of any of the Commissions. </w:t>
      </w:r>
      <w:r w:rsidR="000C5A02" w:rsidRPr="00880A49">
        <w:t xml:space="preserve">The Deputy Chair of the Commission is a judge of the High Court appointed by the Lord Chief Justice of Northern Ireland. The other two </w:t>
      </w:r>
      <w:r w:rsidR="00C901A7">
        <w:t xml:space="preserve">Commission </w:t>
      </w:r>
      <w:r w:rsidR="007D2E11">
        <w:t>Members</w:t>
      </w:r>
      <w:r w:rsidR="000C5A02" w:rsidRPr="00880A49">
        <w:t xml:space="preserve"> are appointed by the Secretary of State for Northern Ireland through a public appointments process. The Commission is supported in its work by four statutory </w:t>
      </w:r>
      <w:r w:rsidR="004D02A0">
        <w:t>A</w:t>
      </w:r>
      <w:r w:rsidR="000C5A02" w:rsidRPr="00880A49">
        <w:t>sse</w:t>
      </w:r>
      <w:r w:rsidR="00A57F2F">
        <w:t>ssors and a small Secretariat.</w:t>
      </w:r>
    </w:p>
    <w:p w:rsidR="0098296D" w:rsidRDefault="0098296D" w:rsidP="0098296D"/>
    <w:p w:rsidR="0098296D" w:rsidRDefault="009F494D" w:rsidP="0098296D">
      <w:pPr>
        <w:rPr>
          <w:rFonts w:cs="Arial"/>
          <w:b/>
          <w:szCs w:val="24"/>
        </w:rPr>
      </w:pPr>
      <w:r>
        <w:rPr>
          <w:rFonts w:cs="Arial"/>
          <w:b/>
          <w:szCs w:val="24"/>
        </w:rPr>
        <w:t>Chairman:</w:t>
      </w:r>
    </w:p>
    <w:p w:rsidR="000C5A02" w:rsidRDefault="000C5A02" w:rsidP="0098296D">
      <w:pPr>
        <w:rPr>
          <w:rFonts w:cs="Arial"/>
          <w:szCs w:val="24"/>
        </w:rPr>
      </w:pPr>
      <w:r w:rsidRPr="00880A49">
        <w:rPr>
          <w:rFonts w:cs="Arial"/>
          <w:szCs w:val="24"/>
        </w:rPr>
        <w:t xml:space="preserve">The Speaker of the House of Commons </w:t>
      </w:r>
    </w:p>
    <w:p w:rsidR="00C901A7" w:rsidRPr="00880A49" w:rsidRDefault="00C901A7" w:rsidP="000C5A02">
      <w:pPr>
        <w:jc w:val="both"/>
        <w:rPr>
          <w:rFonts w:cs="Arial"/>
          <w:szCs w:val="24"/>
        </w:rPr>
      </w:pPr>
    </w:p>
    <w:p w:rsidR="0098296D" w:rsidRDefault="009F494D" w:rsidP="0098296D">
      <w:pPr>
        <w:jc w:val="both"/>
        <w:rPr>
          <w:rFonts w:cs="Arial"/>
          <w:b/>
          <w:szCs w:val="24"/>
        </w:rPr>
      </w:pPr>
      <w:r>
        <w:rPr>
          <w:rFonts w:cs="Arial"/>
          <w:b/>
          <w:szCs w:val="24"/>
        </w:rPr>
        <w:t>Deputy Chairman:</w:t>
      </w:r>
    </w:p>
    <w:p w:rsidR="000C5A02" w:rsidRDefault="00B557A2" w:rsidP="0098296D">
      <w:pPr>
        <w:jc w:val="both"/>
        <w:rPr>
          <w:rFonts w:cs="Arial"/>
          <w:szCs w:val="24"/>
        </w:rPr>
      </w:pPr>
      <w:r>
        <w:rPr>
          <w:rFonts w:cs="Arial"/>
          <w:szCs w:val="24"/>
        </w:rPr>
        <w:t>Mr Justice Michael Humphreys</w:t>
      </w:r>
      <w:r w:rsidR="00C901A7">
        <w:rPr>
          <w:rFonts w:cs="Arial"/>
          <w:szCs w:val="24"/>
        </w:rPr>
        <w:t xml:space="preserve"> (from March 2021)</w:t>
      </w:r>
    </w:p>
    <w:p w:rsidR="00C901A7" w:rsidRDefault="001728C0" w:rsidP="0098296D">
      <w:pPr>
        <w:jc w:val="both"/>
        <w:rPr>
          <w:rFonts w:cs="Arial"/>
          <w:szCs w:val="24"/>
        </w:rPr>
      </w:pPr>
      <w:r>
        <w:rPr>
          <w:rFonts w:cs="Arial"/>
          <w:szCs w:val="24"/>
        </w:rPr>
        <w:t xml:space="preserve">Hon. </w:t>
      </w:r>
      <w:r w:rsidR="00C901A7" w:rsidRPr="00C901A7">
        <w:rPr>
          <w:rFonts w:cs="Arial"/>
          <w:szCs w:val="24"/>
        </w:rPr>
        <w:t>Madam Justice Denise McBride</w:t>
      </w:r>
      <w:r w:rsidR="00474A33">
        <w:rPr>
          <w:rFonts w:cs="Arial"/>
          <w:szCs w:val="24"/>
        </w:rPr>
        <w:t xml:space="preserve"> (October 2015</w:t>
      </w:r>
      <w:r w:rsidR="00C901A7">
        <w:rPr>
          <w:rFonts w:cs="Arial"/>
          <w:szCs w:val="24"/>
        </w:rPr>
        <w:t xml:space="preserve"> – March 2021)</w:t>
      </w:r>
    </w:p>
    <w:p w:rsidR="00C901A7" w:rsidRPr="00880A49" w:rsidRDefault="00C901A7" w:rsidP="000C5A02">
      <w:pPr>
        <w:jc w:val="both"/>
        <w:rPr>
          <w:rFonts w:cs="Arial"/>
          <w:szCs w:val="24"/>
        </w:rPr>
      </w:pPr>
    </w:p>
    <w:p w:rsidR="0098296D" w:rsidRDefault="007D2E11" w:rsidP="0098296D">
      <w:pPr>
        <w:jc w:val="both"/>
        <w:rPr>
          <w:rFonts w:cs="Arial"/>
          <w:b/>
          <w:szCs w:val="24"/>
        </w:rPr>
      </w:pPr>
      <w:r>
        <w:rPr>
          <w:rFonts w:cs="Arial"/>
          <w:b/>
          <w:szCs w:val="24"/>
        </w:rPr>
        <w:t>Members</w:t>
      </w:r>
      <w:r w:rsidR="000C5A02" w:rsidRPr="00880A49">
        <w:rPr>
          <w:rFonts w:cs="Arial"/>
          <w:b/>
          <w:szCs w:val="24"/>
        </w:rPr>
        <w:t>:</w:t>
      </w:r>
    </w:p>
    <w:p w:rsidR="000C5A02" w:rsidRDefault="000C5A02" w:rsidP="0098296D">
      <w:pPr>
        <w:jc w:val="both"/>
        <w:rPr>
          <w:rFonts w:cs="Arial"/>
          <w:szCs w:val="24"/>
        </w:rPr>
      </w:pPr>
      <w:r w:rsidRPr="00880A49">
        <w:rPr>
          <w:rFonts w:cs="Arial"/>
          <w:szCs w:val="24"/>
        </w:rPr>
        <w:t>Ms Sarah Havlin</w:t>
      </w:r>
    </w:p>
    <w:p w:rsidR="00E55D82" w:rsidRPr="00880A49" w:rsidRDefault="00E55D82" w:rsidP="0098296D">
      <w:pPr>
        <w:jc w:val="both"/>
        <w:rPr>
          <w:rFonts w:cs="Arial"/>
          <w:szCs w:val="24"/>
        </w:rPr>
      </w:pPr>
      <w:r>
        <w:rPr>
          <w:rFonts w:cs="Arial"/>
          <w:szCs w:val="24"/>
        </w:rPr>
        <w:t>Ms Vilma Patterson</w:t>
      </w:r>
      <w:r w:rsidR="00E60560">
        <w:rPr>
          <w:rFonts w:cs="Arial"/>
          <w:szCs w:val="24"/>
        </w:rPr>
        <w:t xml:space="preserve"> MBE</w:t>
      </w:r>
    </w:p>
    <w:p w:rsidR="000C5A02" w:rsidRPr="00880A49" w:rsidRDefault="000C5A02" w:rsidP="009F494D">
      <w:pPr>
        <w:jc w:val="both"/>
        <w:rPr>
          <w:rFonts w:cs="Arial"/>
          <w:szCs w:val="24"/>
        </w:rPr>
      </w:pPr>
    </w:p>
    <w:p w:rsidR="0098296D" w:rsidRDefault="000C5A02" w:rsidP="0098296D">
      <w:pPr>
        <w:jc w:val="both"/>
        <w:rPr>
          <w:rFonts w:cs="Arial"/>
          <w:szCs w:val="24"/>
        </w:rPr>
      </w:pPr>
      <w:r w:rsidRPr="00880A49">
        <w:rPr>
          <w:rFonts w:cs="Arial"/>
          <w:b/>
          <w:szCs w:val="24"/>
        </w:rPr>
        <w:t>Assessors:</w:t>
      </w:r>
    </w:p>
    <w:p w:rsidR="00242BE8" w:rsidRPr="00880A49" w:rsidRDefault="00B557A2" w:rsidP="0098296D">
      <w:pPr>
        <w:jc w:val="both"/>
        <w:rPr>
          <w:rFonts w:cs="Arial"/>
          <w:szCs w:val="24"/>
        </w:rPr>
      </w:pPr>
      <w:r>
        <w:rPr>
          <w:rFonts w:cs="Arial"/>
          <w:szCs w:val="24"/>
        </w:rPr>
        <w:t>Ms Angela McGrath</w:t>
      </w:r>
      <w:r w:rsidR="0098296D">
        <w:rPr>
          <w:rFonts w:cs="Arial"/>
          <w:szCs w:val="24"/>
        </w:rPr>
        <w:t xml:space="preserve">, </w:t>
      </w:r>
      <w:r w:rsidR="00242BE8" w:rsidRPr="00880A49">
        <w:rPr>
          <w:rFonts w:cs="Arial"/>
          <w:szCs w:val="24"/>
        </w:rPr>
        <w:t>Commissioner of</w:t>
      </w:r>
      <w:r w:rsidR="00242BE8">
        <w:rPr>
          <w:rFonts w:cs="Arial"/>
          <w:szCs w:val="24"/>
        </w:rPr>
        <w:t xml:space="preserve"> Valuation for Northern Ireland</w:t>
      </w:r>
    </w:p>
    <w:p w:rsidR="00242BE8" w:rsidRDefault="00242BE8" w:rsidP="0098296D">
      <w:pPr>
        <w:jc w:val="both"/>
        <w:rPr>
          <w:rFonts w:cs="Arial"/>
          <w:szCs w:val="24"/>
        </w:rPr>
      </w:pPr>
      <w:r w:rsidRPr="00880A49">
        <w:rPr>
          <w:rFonts w:cs="Arial"/>
          <w:szCs w:val="24"/>
        </w:rPr>
        <w:t>M</w:t>
      </w:r>
      <w:r>
        <w:rPr>
          <w:rFonts w:cs="Arial"/>
          <w:szCs w:val="24"/>
        </w:rPr>
        <w:t>s Siobhan Carey</w:t>
      </w:r>
      <w:r w:rsidR="0098296D">
        <w:rPr>
          <w:rFonts w:cs="Arial"/>
          <w:szCs w:val="24"/>
        </w:rPr>
        <w:t xml:space="preserve">, </w:t>
      </w:r>
      <w:r w:rsidRPr="00880A49">
        <w:rPr>
          <w:rFonts w:cs="Arial"/>
          <w:szCs w:val="24"/>
        </w:rPr>
        <w:t>Registrar General Northern Ir</w:t>
      </w:r>
      <w:r>
        <w:rPr>
          <w:rFonts w:cs="Arial"/>
          <w:szCs w:val="24"/>
        </w:rPr>
        <w:t>eland</w:t>
      </w:r>
    </w:p>
    <w:p w:rsidR="000C5A02" w:rsidRDefault="006F40D8" w:rsidP="0098296D">
      <w:pPr>
        <w:jc w:val="both"/>
        <w:rPr>
          <w:rFonts w:cs="Arial"/>
          <w:szCs w:val="24"/>
        </w:rPr>
      </w:pPr>
      <w:r>
        <w:rPr>
          <w:rFonts w:cs="Arial"/>
          <w:szCs w:val="24"/>
        </w:rPr>
        <w:t>Ms Virginia McVea</w:t>
      </w:r>
      <w:r w:rsidR="0098296D">
        <w:rPr>
          <w:rFonts w:cs="Arial"/>
          <w:szCs w:val="24"/>
        </w:rPr>
        <w:t xml:space="preserve">, </w:t>
      </w:r>
      <w:r w:rsidR="000C5A02" w:rsidRPr="00880A49">
        <w:rPr>
          <w:rFonts w:cs="Arial"/>
          <w:szCs w:val="24"/>
        </w:rPr>
        <w:t>Chief Electora</w:t>
      </w:r>
      <w:r>
        <w:rPr>
          <w:rFonts w:cs="Arial"/>
          <w:szCs w:val="24"/>
        </w:rPr>
        <w:t>l Officer for Northern Ireland</w:t>
      </w:r>
    </w:p>
    <w:p w:rsidR="00DD13AF" w:rsidRPr="00880A49" w:rsidRDefault="009F3526" w:rsidP="0098296D">
      <w:pPr>
        <w:jc w:val="both"/>
        <w:rPr>
          <w:rFonts w:cs="Arial"/>
          <w:szCs w:val="24"/>
        </w:rPr>
      </w:pPr>
      <w:r>
        <w:rPr>
          <w:rFonts w:cs="Arial"/>
          <w:szCs w:val="24"/>
        </w:rPr>
        <w:t>Mr Jim Lennon</w:t>
      </w:r>
      <w:r w:rsidR="0098296D">
        <w:rPr>
          <w:rFonts w:cs="Arial"/>
          <w:szCs w:val="24"/>
        </w:rPr>
        <w:t xml:space="preserve">, </w:t>
      </w:r>
      <w:r w:rsidR="00DD13AF" w:rsidRPr="00DD13AF">
        <w:rPr>
          <w:rFonts w:cs="Arial"/>
          <w:szCs w:val="24"/>
        </w:rPr>
        <w:t>Chief Survey Officer of Land and Property Services</w:t>
      </w:r>
    </w:p>
    <w:p w:rsidR="000C5A02" w:rsidRPr="00406608" w:rsidRDefault="000C5A02" w:rsidP="009F494D">
      <w:pPr>
        <w:jc w:val="both"/>
        <w:rPr>
          <w:rFonts w:cs="Arial"/>
          <w:sz w:val="20"/>
          <w:szCs w:val="20"/>
        </w:rPr>
      </w:pPr>
    </w:p>
    <w:p w:rsidR="0098296D" w:rsidRDefault="00841FBC" w:rsidP="000C5A02">
      <w:pPr>
        <w:jc w:val="both"/>
        <w:rPr>
          <w:rFonts w:cs="Arial"/>
          <w:szCs w:val="24"/>
        </w:rPr>
      </w:pPr>
      <w:r>
        <w:rPr>
          <w:rFonts w:cs="Arial"/>
          <w:b/>
          <w:szCs w:val="24"/>
        </w:rPr>
        <w:t>Secretary:</w:t>
      </w:r>
    </w:p>
    <w:p w:rsidR="000C5A02" w:rsidRDefault="00B557A2" w:rsidP="000C5A02">
      <w:pPr>
        <w:jc w:val="both"/>
        <w:rPr>
          <w:rFonts w:cs="Arial"/>
          <w:szCs w:val="24"/>
        </w:rPr>
      </w:pPr>
      <w:r>
        <w:rPr>
          <w:rFonts w:cs="Arial"/>
          <w:szCs w:val="24"/>
        </w:rPr>
        <w:t>Ms Heather McKinley</w:t>
      </w:r>
      <w:r w:rsidR="00C901A7">
        <w:rPr>
          <w:rFonts w:cs="Arial"/>
          <w:szCs w:val="24"/>
        </w:rPr>
        <w:t xml:space="preserve"> (from F</w:t>
      </w:r>
      <w:r w:rsidR="00A158D1">
        <w:rPr>
          <w:rFonts w:cs="Arial"/>
          <w:szCs w:val="24"/>
        </w:rPr>
        <w:t>ebruary 2021)</w:t>
      </w:r>
    </w:p>
    <w:p w:rsidR="00C901A7" w:rsidRPr="00880A49" w:rsidRDefault="00A81A7C" w:rsidP="000C5A02">
      <w:pPr>
        <w:jc w:val="both"/>
        <w:rPr>
          <w:rFonts w:cs="Arial"/>
          <w:szCs w:val="24"/>
        </w:rPr>
      </w:pPr>
      <w:r>
        <w:rPr>
          <w:rFonts w:cs="Arial"/>
          <w:szCs w:val="24"/>
        </w:rPr>
        <w:t>Mr Eamonn McConville (November 2015</w:t>
      </w:r>
      <w:r w:rsidR="00A158D1">
        <w:rPr>
          <w:rFonts w:cs="Arial"/>
          <w:szCs w:val="24"/>
        </w:rPr>
        <w:t xml:space="preserve"> – January 2021)</w:t>
      </w:r>
      <w:r w:rsidR="00C901A7">
        <w:rPr>
          <w:rFonts w:cs="Arial"/>
          <w:szCs w:val="24"/>
        </w:rPr>
        <w:t xml:space="preserve"> </w:t>
      </w:r>
    </w:p>
    <w:p w:rsidR="00443424" w:rsidRDefault="00443424" w:rsidP="000C5A02">
      <w:pPr>
        <w:jc w:val="both"/>
        <w:rPr>
          <w:rFonts w:cs="Arial"/>
          <w:b/>
          <w:color w:val="1F497D" w:themeColor="text2"/>
          <w:szCs w:val="24"/>
        </w:rPr>
      </w:pPr>
    </w:p>
    <w:p w:rsidR="000C5A02" w:rsidRPr="00A10E81" w:rsidRDefault="00CD0BD5" w:rsidP="00727715">
      <w:pPr>
        <w:pStyle w:val="Heading2"/>
      </w:pPr>
      <w:bookmarkStart w:id="5" w:name="_Toc82682175"/>
      <w:r>
        <w:lastRenderedPageBreak/>
        <w:t>2</w:t>
      </w:r>
      <w:r w:rsidR="000C5A02" w:rsidRPr="00A10E81">
        <w:t>.3 Meetings</w:t>
      </w:r>
      <w:bookmarkEnd w:id="5"/>
    </w:p>
    <w:p w:rsidR="003F5C8E" w:rsidRDefault="000C5A02" w:rsidP="00B22FC9">
      <w:r w:rsidRPr="00880A49">
        <w:t xml:space="preserve">The Commission met </w:t>
      </w:r>
      <w:r w:rsidR="00B86221">
        <w:t xml:space="preserve">formally </w:t>
      </w:r>
      <w:r w:rsidRPr="00880A49">
        <w:t xml:space="preserve">on </w:t>
      </w:r>
      <w:r w:rsidR="00725404">
        <w:t>eight</w:t>
      </w:r>
      <w:r w:rsidR="00B86221">
        <w:t xml:space="preserve"> </w:t>
      </w:r>
      <w:r w:rsidRPr="00880A49">
        <w:t xml:space="preserve">occasions during the period covered by this report. </w:t>
      </w:r>
      <w:r w:rsidR="00204FD7">
        <w:t xml:space="preserve">These meetings </w:t>
      </w:r>
      <w:r w:rsidR="00961CDB">
        <w:t xml:space="preserve">were used to </w:t>
      </w:r>
      <w:r w:rsidR="00204FD7">
        <w:t>discuss</w:t>
      </w:r>
      <w:r w:rsidR="00E165C1">
        <w:t xml:space="preserve"> </w:t>
      </w:r>
      <w:r w:rsidR="00B86221">
        <w:t xml:space="preserve">the </w:t>
      </w:r>
      <w:r w:rsidR="00A158D1">
        <w:t xml:space="preserve">delivery of the </w:t>
      </w:r>
      <w:r w:rsidR="003F264E">
        <w:t>Commission’s statutory obligations</w:t>
      </w:r>
      <w:r w:rsidR="00B86221">
        <w:t xml:space="preserve">, </w:t>
      </w:r>
      <w:r w:rsidR="00A158D1">
        <w:t>as well as</w:t>
      </w:r>
      <w:r w:rsidR="000216BA">
        <w:t xml:space="preserve"> operational and financial </w:t>
      </w:r>
      <w:r w:rsidR="003F264E">
        <w:t>matters</w:t>
      </w:r>
      <w:r w:rsidR="00B86221">
        <w:t>.</w:t>
      </w:r>
    </w:p>
    <w:p w:rsidR="000216BA" w:rsidRDefault="000216BA" w:rsidP="00B22FC9"/>
    <w:p w:rsidR="00B86221" w:rsidRDefault="00B86221" w:rsidP="00B22FC9">
      <w:r>
        <w:t xml:space="preserve">The </w:t>
      </w:r>
      <w:r w:rsidR="00A158D1">
        <w:t>Commission also</w:t>
      </w:r>
      <w:r w:rsidRPr="00A158D1">
        <w:t xml:space="preserve"> attended</w:t>
      </w:r>
      <w:r>
        <w:t xml:space="preserve"> the annual meeting of the UK Commissions</w:t>
      </w:r>
      <w:r w:rsidR="004177BD">
        <w:t xml:space="preserve"> in November 2020</w:t>
      </w:r>
      <w:r w:rsidR="00946559">
        <w:t>, facilitated v</w:t>
      </w:r>
      <w:r w:rsidR="007B30CA">
        <w:t>ia video link due to</w:t>
      </w:r>
      <w:r w:rsidR="00946559">
        <w:t xml:space="preserve"> public health </w:t>
      </w:r>
      <w:r w:rsidR="007B30CA">
        <w:t>restrictions</w:t>
      </w:r>
      <w:r>
        <w:t>. The meeting provide</w:t>
      </w:r>
      <w:r w:rsidR="00946559">
        <w:t>d</w:t>
      </w:r>
      <w:r>
        <w:t xml:space="preserve"> an opportunity to reflect </w:t>
      </w:r>
      <w:r w:rsidR="00A158D1">
        <w:t xml:space="preserve">on the impact of COVID-19, </w:t>
      </w:r>
      <w:r>
        <w:t xml:space="preserve">share </w:t>
      </w:r>
      <w:r w:rsidR="00A158D1">
        <w:t>updates on our work</w:t>
      </w:r>
      <w:r>
        <w:t xml:space="preserve"> </w:t>
      </w:r>
      <w:r w:rsidR="00291CE1">
        <w:t>and</w:t>
      </w:r>
      <w:r>
        <w:t xml:space="preserve"> </w:t>
      </w:r>
      <w:r w:rsidR="00A158D1">
        <w:t xml:space="preserve">discuss </w:t>
      </w:r>
      <w:r>
        <w:t>good practice in common areas of interest.</w:t>
      </w:r>
    </w:p>
    <w:p w:rsidR="00B22FC9" w:rsidRDefault="00B22FC9" w:rsidP="00B22FC9"/>
    <w:p w:rsidR="000C5A02" w:rsidRPr="00A10E81" w:rsidRDefault="00CD0BD5" w:rsidP="00727715">
      <w:pPr>
        <w:pStyle w:val="Heading2"/>
      </w:pPr>
      <w:bookmarkStart w:id="6" w:name="_Toc82682176"/>
      <w:r>
        <w:t>2</w:t>
      </w:r>
      <w:r w:rsidR="000C5A02" w:rsidRPr="00A10E81">
        <w:t>.4 Code of Practice</w:t>
      </w:r>
      <w:bookmarkEnd w:id="6"/>
      <w:r w:rsidR="000C5A02" w:rsidRPr="00A10E81">
        <w:t xml:space="preserve"> </w:t>
      </w:r>
    </w:p>
    <w:p w:rsidR="000C5A02" w:rsidRPr="00880A49" w:rsidRDefault="000C5A02" w:rsidP="007E5270">
      <w:pPr>
        <w:spacing w:after="360"/>
        <w:rPr>
          <w:rFonts w:cs="Arial"/>
          <w:szCs w:val="24"/>
        </w:rPr>
      </w:pPr>
      <w:r w:rsidRPr="00880A49">
        <w:rPr>
          <w:rFonts w:cs="Arial"/>
          <w:szCs w:val="24"/>
        </w:rPr>
        <w:t>The Commission</w:t>
      </w:r>
      <w:r w:rsidR="007D2E11">
        <w:rPr>
          <w:rFonts w:cs="Arial"/>
          <w:szCs w:val="24"/>
        </w:rPr>
        <w:t>’</w:t>
      </w:r>
      <w:r w:rsidRPr="00880A49">
        <w:rPr>
          <w:rFonts w:cs="Arial"/>
          <w:szCs w:val="24"/>
        </w:rPr>
        <w:t>s Code of Practice is available on the Boundary Commission website (</w:t>
      </w:r>
      <w:hyperlink r:id="rId14" w:history="1">
        <w:r w:rsidRPr="00880A49">
          <w:rPr>
            <w:rStyle w:val="Hyperlink"/>
            <w:rFonts w:cs="Arial"/>
            <w:szCs w:val="24"/>
          </w:rPr>
          <w:t>www.boundarycommission.org.uk</w:t>
        </w:r>
      </w:hyperlink>
      <w:r w:rsidRPr="00880A49">
        <w:rPr>
          <w:rFonts w:cs="Arial"/>
          <w:szCs w:val="24"/>
        </w:rPr>
        <w:t xml:space="preserve">) or a copy can be provided on request. </w:t>
      </w:r>
    </w:p>
    <w:p w:rsidR="000C5A02" w:rsidRPr="00A10E81" w:rsidRDefault="00CD0BD5" w:rsidP="00727715">
      <w:pPr>
        <w:pStyle w:val="Heading2"/>
      </w:pPr>
      <w:bookmarkStart w:id="7" w:name="_Toc82682177"/>
      <w:r>
        <w:t>2</w:t>
      </w:r>
      <w:r w:rsidR="000C5A02" w:rsidRPr="00A10E81">
        <w:t>.5 Register of Members’ Interests</w:t>
      </w:r>
      <w:bookmarkEnd w:id="7"/>
      <w:r w:rsidR="000C5A02" w:rsidRPr="00A10E81">
        <w:t xml:space="preserve"> </w:t>
      </w:r>
    </w:p>
    <w:p w:rsidR="000C5A02" w:rsidRDefault="00B84E1E" w:rsidP="00B22FC9">
      <w:r>
        <w:t>The Commission maintains a</w:t>
      </w:r>
      <w:r w:rsidR="000C5A02" w:rsidRPr="00880A49">
        <w:t xml:space="preserve"> Register of Members’ Interests, in accordance with the Code of Practice, which is </w:t>
      </w:r>
      <w:r w:rsidR="00443424">
        <w:t>available</w:t>
      </w:r>
      <w:r w:rsidR="00443424" w:rsidRPr="00880A49">
        <w:t xml:space="preserve"> </w:t>
      </w:r>
      <w:r w:rsidR="000C5A02" w:rsidRPr="00880A49">
        <w:t>to the public</w:t>
      </w:r>
      <w:r w:rsidR="00A574FE">
        <w:t xml:space="preserve"> on request</w:t>
      </w:r>
      <w:r w:rsidR="009F494D">
        <w:t>.</w:t>
      </w:r>
    </w:p>
    <w:p w:rsidR="00B22FC9" w:rsidRDefault="00B22FC9" w:rsidP="00B22FC9"/>
    <w:p w:rsidR="000C5A02" w:rsidRPr="00A10E81" w:rsidRDefault="00CD0BD5" w:rsidP="00727715">
      <w:pPr>
        <w:pStyle w:val="Heading2"/>
      </w:pPr>
      <w:bookmarkStart w:id="8" w:name="_Toc82682178"/>
      <w:r>
        <w:t>2</w:t>
      </w:r>
      <w:r w:rsidR="000C5A02" w:rsidRPr="00A10E81">
        <w:t>.6 Secretariat</w:t>
      </w:r>
      <w:bookmarkEnd w:id="8"/>
    </w:p>
    <w:p w:rsidR="000C5A02" w:rsidRPr="00880A49" w:rsidRDefault="00CD4CA8" w:rsidP="00B22FC9">
      <w:r w:rsidRPr="00B22FC9">
        <w:t>Heather McKinley</w:t>
      </w:r>
      <w:r w:rsidR="000C5A02" w:rsidRPr="00B22FC9">
        <w:t xml:space="preserve"> is the Secretary to the Commission</w:t>
      </w:r>
      <w:r w:rsidRPr="00B22FC9">
        <w:t xml:space="preserve">. Her appointment is </w:t>
      </w:r>
      <w:r w:rsidR="000C5A02" w:rsidRPr="00B22FC9">
        <w:t>in accordance with paragraph 7 of Schedule 1 to the Parliamentary Constituencies Act.</w:t>
      </w:r>
      <w:r w:rsidR="000C5A02" w:rsidRPr="00880A49">
        <w:t xml:space="preserve"> </w:t>
      </w:r>
      <w:r w:rsidR="00BA15C9">
        <w:t>The Secretary, together with a</w:t>
      </w:r>
      <w:r>
        <w:t xml:space="preserve"> small Secretariat</w:t>
      </w:r>
      <w:r w:rsidR="00BA15C9">
        <w:t>,</w:t>
      </w:r>
      <w:r>
        <w:t xml:space="preserve"> supports the work</w:t>
      </w:r>
      <w:r w:rsidR="009F494D">
        <w:t xml:space="preserve"> of the Commission.</w:t>
      </w:r>
    </w:p>
    <w:p w:rsidR="00BD6AA2" w:rsidRDefault="00BD6AA2" w:rsidP="00B22FC9"/>
    <w:p w:rsidR="000C5A02" w:rsidRDefault="00426F28" w:rsidP="00B22FC9">
      <w:r>
        <w:t>During the period of this report the Secretar</w:t>
      </w:r>
      <w:r w:rsidR="00CD4CA8">
        <w:t>iat’s work has included</w:t>
      </w:r>
      <w:r>
        <w:t xml:space="preserve"> the following</w:t>
      </w:r>
      <w:r w:rsidR="00CD4CA8">
        <w:t xml:space="preserve"> key</w:t>
      </w:r>
      <w:r>
        <w:t xml:space="preserve"> areas:</w:t>
      </w:r>
    </w:p>
    <w:p w:rsidR="005A7C71" w:rsidRPr="00880A49" w:rsidRDefault="005A7C71" w:rsidP="00B22FC9"/>
    <w:p w:rsidR="000C5A02" w:rsidRPr="00880A49" w:rsidRDefault="00AB1050" w:rsidP="00A10E81">
      <w:pPr>
        <w:pStyle w:val="ListParagraph"/>
        <w:numPr>
          <w:ilvl w:val="0"/>
          <w:numId w:val="9"/>
        </w:numPr>
        <w:ind w:left="709" w:hanging="352"/>
        <w:contextualSpacing w:val="0"/>
        <w:rPr>
          <w:rFonts w:cs="Arial"/>
          <w:szCs w:val="24"/>
        </w:rPr>
      </w:pPr>
      <w:r>
        <w:rPr>
          <w:rFonts w:cs="Arial"/>
          <w:szCs w:val="24"/>
        </w:rPr>
        <w:t>R</w:t>
      </w:r>
      <w:r w:rsidR="00426F28">
        <w:rPr>
          <w:rFonts w:cs="Arial"/>
          <w:szCs w:val="24"/>
        </w:rPr>
        <w:t xml:space="preserve">eview of the Commission’s corporate and </w:t>
      </w:r>
      <w:r w:rsidR="00426F28" w:rsidRPr="00A158D1">
        <w:rPr>
          <w:rFonts w:cs="Arial"/>
          <w:szCs w:val="24"/>
        </w:rPr>
        <w:t>operational infrastructure;</w:t>
      </w:r>
    </w:p>
    <w:p w:rsidR="000C5A02" w:rsidRPr="00880A49" w:rsidRDefault="00AB1050" w:rsidP="00A10E81">
      <w:pPr>
        <w:pStyle w:val="ListParagraph"/>
        <w:numPr>
          <w:ilvl w:val="0"/>
          <w:numId w:val="9"/>
        </w:numPr>
        <w:ind w:left="709" w:hanging="352"/>
        <w:contextualSpacing w:val="0"/>
        <w:rPr>
          <w:rFonts w:cs="Arial"/>
          <w:szCs w:val="24"/>
        </w:rPr>
      </w:pPr>
      <w:r>
        <w:rPr>
          <w:rFonts w:cs="Arial"/>
          <w:szCs w:val="24"/>
        </w:rPr>
        <w:t xml:space="preserve">Financial and </w:t>
      </w:r>
      <w:r w:rsidR="000C5A02" w:rsidRPr="00880A49">
        <w:rPr>
          <w:rFonts w:cs="Arial"/>
          <w:szCs w:val="24"/>
        </w:rPr>
        <w:t>administrative matters;</w:t>
      </w:r>
    </w:p>
    <w:p w:rsidR="000C5A02" w:rsidRPr="00880A49" w:rsidRDefault="00AB1050" w:rsidP="00A10E81">
      <w:pPr>
        <w:pStyle w:val="ListParagraph"/>
        <w:numPr>
          <w:ilvl w:val="0"/>
          <w:numId w:val="9"/>
        </w:numPr>
        <w:ind w:left="709" w:hanging="352"/>
        <w:contextualSpacing w:val="0"/>
        <w:rPr>
          <w:rFonts w:cs="Arial"/>
          <w:szCs w:val="24"/>
        </w:rPr>
      </w:pPr>
      <w:r>
        <w:rPr>
          <w:rFonts w:cs="Arial"/>
          <w:szCs w:val="24"/>
        </w:rPr>
        <w:t>L</w:t>
      </w:r>
      <w:r w:rsidR="000C5A02" w:rsidRPr="00880A49">
        <w:rPr>
          <w:rFonts w:cs="Arial"/>
          <w:szCs w:val="24"/>
        </w:rPr>
        <w:t>iais</w:t>
      </w:r>
      <w:r>
        <w:rPr>
          <w:rFonts w:cs="Arial"/>
          <w:szCs w:val="24"/>
        </w:rPr>
        <w:t>on</w:t>
      </w:r>
      <w:r w:rsidR="000C5A02" w:rsidRPr="00880A49">
        <w:rPr>
          <w:rFonts w:cs="Arial"/>
          <w:szCs w:val="24"/>
        </w:rPr>
        <w:t xml:space="preserve"> with other UK Commissions and </w:t>
      </w:r>
      <w:r w:rsidR="004725CA">
        <w:rPr>
          <w:rFonts w:cs="Arial"/>
          <w:szCs w:val="24"/>
        </w:rPr>
        <w:t>other public bodies</w:t>
      </w:r>
      <w:r w:rsidR="000C5A02" w:rsidRPr="00880A49">
        <w:rPr>
          <w:rFonts w:cs="Arial"/>
          <w:szCs w:val="24"/>
        </w:rPr>
        <w:t xml:space="preserve"> </w:t>
      </w:r>
      <w:r>
        <w:rPr>
          <w:rFonts w:cs="Arial"/>
          <w:szCs w:val="24"/>
        </w:rPr>
        <w:t>to support the work of the Commission</w:t>
      </w:r>
      <w:r w:rsidR="009E2AAE">
        <w:rPr>
          <w:rFonts w:cs="Arial"/>
          <w:szCs w:val="24"/>
        </w:rPr>
        <w:t>;</w:t>
      </w:r>
    </w:p>
    <w:p w:rsidR="000C5A02" w:rsidRPr="00880A49" w:rsidRDefault="00C66C5A" w:rsidP="00A10E81">
      <w:pPr>
        <w:pStyle w:val="ListParagraph"/>
        <w:numPr>
          <w:ilvl w:val="0"/>
          <w:numId w:val="9"/>
        </w:numPr>
        <w:ind w:left="709" w:hanging="352"/>
        <w:contextualSpacing w:val="0"/>
        <w:rPr>
          <w:rFonts w:cs="Arial"/>
          <w:szCs w:val="24"/>
        </w:rPr>
      </w:pPr>
      <w:r>
        <w:rPr>
          <w:rFonts w:cs="Arial"/>
          <w:szCs w:val="24"/>
        </w:rPr>
        <w:t>R</w:t>
      </w:r>
      <w:r w:rsidR="000C5A02" w:rsidRPr="00880A49">
        <w:rPr>
          <w:rFonts w:cs="Arial"/>
          <w:szCs w:val="24"/>
        </w:rPr>
        <w:t>esponding to queries and correspond</w:t>
      </w:r>
      <w:r w:rsidR="00CE2343">
        <w:rPr>
          <w:rFonts w:cs="Arial"/>
          <w:szCs w:val="24"/>
        </w:rPr>
        <w:t xml:space="preserve">ence </w:t>
      </w:r>
      <w:r w:rsidR="005D30E4">
        <w:rPr>
          <w:rFonts w:cs="Arial"/>
          <w:szCs w:val="24"/>
        </w:rPr>
        <w:t xml:space="preserve">from members of the public, </w:t>
      </w:r>
      <w:r>
        <w:rPr>
          <w:rFonts w:cs="Arial"/>
          <w:szCs w:val="24"/>
        </w:rPr>
        <w:t>elected representatives, and other stakeholders;</w:t>
      </w:r>
    </w:p>
    <w:p w:rsidR="00B944B1" w:rsidRPr="00B22FC9" w:rsidRDefault="00C66C5A" w:rsidP="00B22FC9">
      <w:pPr>
        <w:pStyle w:val="ListParagraph"/>
        <w:numPr>
          <w:ilvl w:val="0"/>
          <w:numId w:val="9"/>
        </w:numPr>
        <w:ind w:left="709" w:hanging="352"/>
        <w:rPr>
          <w:rFonts w:cs="Arial"/>
          <w:b/>
          <w:sz w:val="28"/>
          <w:szCs w:val="28"/>
        </w:rPr>
      </w:pPr>
      <w:r>
        <w:rPr>
          <w:rFonts w:cs="Arial"/>
          <w:szCs w:val="24"/>
        </w:rPr>
        <w:t>M</w:t>
      </w:r>
      <w:r w:rsidR="000C5A02" w:rsidRPr="00880A49">
        <w:rPr>
          <w:rFonts w:cs="Arial"/>
          <w:szCs w:val="24"/>
        </w:rPr>
        <w:t>aint</w:t>
      </w:r>
      <w:r>
        <w:rPr>
          <w:rFonts w:cs="Arial"/>
          <w:szCs w:val="24"/>
        </w:rPr>
        <w:t>enance of</w:t>
      </w:r>
      <w:r w:rsidR="000C5A02" w:rsidRPr="00880A49">
        <w:rPr>
          <w:rFonts w:cs="Arial"/>
          <w:szCs w:val="24"/>
        </w:rPr>
        <w:t xml:space="preserve"> the Commission’s </w:t>
      </w:r>
      <w:hyperlink r:id="rId15" w:history="1">
        <w:r w:rsidR="000C5A02" w:rsidRPr="00880A49">
          <w:rPr>
            <w:rStyle w:val="Hyperlink"/>
            <w:rFonts w:cs="Arial"/>
            <w:szCs w:val="24"/>
          </w:rPr>
          <w:t>website</w:t>
        </w:r>
      </w:hyperlink>
      <w:r w:rsidR="001A40C2">
        <w:rPr>
          <w:rFonts w:cs="Arial"/>
          <w:szCs w:val="24"/>
        </w:rPr>
        <w:t>;</w:t>
      </w:r>
    </w:p>
    <w:p w:rsidR="001A40C2" w:rsidRPr="00275756" w:rsidRDefault="00B944B1" w:rsidP="00A10E81">
      <w:pPr>
        <w:pStyle w:val="ListParagraph"/>
        <w:numPr>
          <w:ilvl w:val="0"/>
          <w:numId w:val="9"/>
        </w:numPr>
        <w:ind w:left="709" w:hanging="352"/>
        <w:rPr>
          <w:rFonts w:cs="Arial"/>
          <w:b/>
          <w:sz w:val="28"/>
          <w:szCs w:val="28"/>
        </w:rPr>
      </w:pPr>
      <w:r>
        <w:rPr>
          <w:rFonts w:cs="Arial"/>
          <w:szCs w:val="24"/>
        </w:rPr>
        <w:t>Preparation for</w:t>
      </w:r>
      <w:r w:rsidR="001A40C2">
        <w:rPr>
          <w:rFonts w:cs="Arial"/>
          <w:szCs w:val="24"/>
        </w:rPr>
        <w:t xml:space="preserve"> the 2023 Review.</w:t>
      </w:r>
    </w:p>
    <w:p w:rsidR="00275756" w:rsidRDefault="00275756">
      <w:pPr>
        <w:rPr>
          <w:rFonts w:cs="Arial"/>
          <w:szCs w:val="24"/>
        </w:rPr>
      </w:pPr>
      <w:r>
        <w:rPr>
          <w:rFonts w:cs="Arial"/>
          <w:szCs w:val="24"/>
        </w:rPr>
        <w:br w:type="page"/>
      </w:r>
    </w:p>
    <w:p w:rsidR="000C5A02" w:rsidRPr="007D3907" w:rsidRDefault="00CD0BD5" w:rsidP="00154777">
      <w:pPr>
        <w:pStyle w:val="Heading1"/>
      </w:pPr>
      <w:bookmarkStart w:id="9" w:name="_Toc82682179"/>
      <w:r>
        <w:lastRenderedPageBreak/>
        <w:t>Section 3:</w:t>
      </w:r>
      <w:r w:rsidR="000C5A02" w:rsidRPr="007D3907">
        <w:t xml:space="preserve"> Gov</w:t>
      </w:r>
      <w:r w:rsidR="000C5A02" w:rsidRPr="00CE2343">
        <w:t>ern</w:t>
      </w:r>
      <w:r w:rsidR="000C5A02" w:rsidRPr="007D3907">
        <w:t>ance</w:t>
      </w:r>
      <w:bookmarkEnd w:id="9"/>
      <w:r w:rsidR="000C5A02" w:rsidRPr="007D3907">
        <w:t xml:space="preserve"> </w:t>
      </w:r>
    </w:p>
    <w:p w:rsidR="000C5A02" w:rsidRPr="00A10E81" w:rsidRDefault="00CD0BD5" w:rsidP="00727715">
      <w:pPr>
        <w:pStyle w:val="Heading2"/>
      </w:pPr>
      <w:bookmarkStart w:id="10" w:name="_Toc82682180"/>
      <w:r>
        <w:t>3</w:t>
      </w:r>
      <w:r w:rsidR="000C5A02" w:rsidRPr="00A10E81">
        <w:t>.1 Legislation</w:t>
      </w:r>
      <w:bookmarkEnd w:id="10"/>
      <w:r w:rsidR="000C5A02" w:rsidRPr="00A10E81">
        <w:t xml:space="preserve"> </w:t>
      </w:r>
    </w:p>
    <w:p w:rsidR="000C5A02" w:rsidRDefault="000C5A02" w:rsidP="000C5A02">
      <w:pPr>
        <w:rPr>
          <w:rFonts w:cs="Arial"/>
          <w:szCs w:val="24"/>
        </w:rPr>
      </w:pPr>
      <w:r w:rsidRPr="00880A49">
        <w:rPr>
          <w:rFonts w:cs="Arial"/>
          <w:szCs w:val="24"/>
        </w:rPr>
        <w:t xml:space="preserve">The work of the </w:t>
      </w:r>
      <w:r w:rsidR="009F3526">
        <w:rPr>
          <w:rFonts w:cs="Arial"/>
          <w:szCs w:val="24"/>
        </w:rPr>
        <w:t xml:space="preserve">Boundary </w:t>
      </w:r>
      <w:r w:rsidRPr="00880A49">
        <w:rPr>
          <w:rFonts w:cs="Arial"/>
          <w:szCs w:val="24"/>
        </w:rPr>
        <w:t>Commission is governed by the Parliamentary Constituencies Act 1986, as am</w:t>
      </w:r>
      <w:r w:rsidR="004F5DDC">
        <w:rPr>
          <w:rFonts w:cs="Arial"/>
          <w:szCs w:val="24"/>
        </w:rPr>
        <w:t>ended. The l</w:t>
      </w:r>
      <w:r w:rsidRPr="00880A49">
        <w:rPr>
          <w:rFonts w:cs="Arial"/>
          <w:szCs w:val="24"/>
        </w:rPr>
        <w:t xml:space="preserve">egislation is available </w:t>
      </w:r>
      <w:r w:rsidR="00A132CA" w:rsidRPr="001728BE">
        <w:rPr>
          <w:rFonts w:cs="Arial"/>
          <w:szCs w:val="24"/>
        </w:rPr>
        <w:t xml:space="preserve">at </w:t>
      </w:r>
      <w:hyperlink r:id="rId16" w:history="1">
        <w:r w:rsidR="004F5DDC" w:rsidRPr="004F5DDC">
          <w:rPr>
            <w:rStyle w:val="Hyperlink"/>
            <w:rFonts w:cs="Arial"/>
            <w:szCs w:val="24"/>
          </w:rPr>
          <w:t>https://www.legislation.gov.uk/</w:t>
        </w:r>
      </w:hyperlink>
      <w:r w:rsidR="004F5DDC">
        <w:rPr>
          <w:rFonts w:cs="Arial"/>
          <w:szCs w:val="24"/>
        </w:rPr>
        <w:t>.</w:t>
      </w:r>
    </w:p>
    <w:p w:rsidR="0098296D" w:rsidRDefault="0098296D" w:rsidP="000C5A02">
      <w:pPr>
        <w:rPr>
          <w:rFonts w:cs="Arial"/>
          <w:szCs w:val="24"/>
        </w:rPr>
      </w:pPr>
    </w:p>
    <w:p w:rsidR="008011D6" w:rsidRDefault="008011D6" w:rsidP="00BD6AA2">
      <w:pPr>
        <w:rPr>
          <w:rFonts w:cs="Arial"/>
          <w:szCs w:val="24"/>
        </w:rPr>
      </w:pPr>
      <w:r w:rsidRPr="00FF2384">
        <w:rPr>
          <w:rFonts w:cs="Arial"/>
          <w:szCs w:val="24"/>
        </w:rPr>
        <w:t>Amending legislation which received Royal Assent in December 2020</w:t>
      </w:r>
      <w:r w:rsidRPr="00FF2384" w:rsidDel="00A132CA">
        <w:rPr>
          <w:rFonts w:cs="Arial"/>
          <w:szCs w:val="24"/>
        </w:rPr>
        <w:t xml:space="preserve"> </w:t>
      </w:r>
      <w:r w:rsidRPr="00FF2384">
        <w:rPr>
          <w:rFonts w:cs="Arial"/>
          <w:szCs w:val="24"/>
        </w:rPr>
        <w:t>introduced some key changes to the statutory boundary review process</w:t>
      </w:r>
      <w:r w:rsidRPr="005E055E">
        <w:rPr>
          <w:rFonts w:cs="Arial"/>
          <w:szCs w:val="24"/>
        </w:rPr>
        <w:t>:</w:t>
      </w:r>
    </w:p>
    <w:p w:rsidR="00F658C7" w:rsidRPr="00057762" w:rsidRDefault="00F658C7" w:rsidP="00BD6AA2">
      <w:pPr>
        <w:rPr>
          <w:rFonts w:cs="Arial"/>
          <w:szCs w:val="24"/>
        </w:rPr>
      </w:pPr>
    </w:p>
    <w:p w:rsidR="008011D6" w:rsidRPr="001728BE" w:rsidRDefault="008011D6" w:rsidP="008011D6">
      <w:pPr>
        <w:pStyle w:val="ListParagraph"/>
        <w:numPr>
          <w:ilvl w:val="0"/>
          <w:numId w:val="15"/>
        </w:numPr>
        <w:spacing w:after="40"/>
        <w:jc w:val="both"/>
        <w:rPr>
          <w:rFonts w:cs="Arial"/>
          <w:szCs w:val="24"/>
        </w:rPr>
      </w:pPr>
      <w:r w:rsidRPr="001728BE">
        <w:rPr>
          <w:rFonts w:cs="Arial"/>
          <w:szCs w:val="24"/>
        </w:rPr>
        <w:t>650 seats across the UK, compared to 600</w:t>
      </w:r>
      <w:r w:rsidR="007D50CF">
        <w:rPr>
          <w:rFonts w:cs="Arial"/>
          <w:szCs w:val="24"/>
        </w:rPr>
        <w:t xml:space="preserve"> in the 2018 Review;</w:t>
      </w:r>
    </w:p>
    <w:p w:rsidR="008011D6" w:rsidRPr="001728BE" w:rsidRDefault="008011D6" w:rsidP="008011D6">
      <w:pPr>
        <w:pStyle w:val="ListParagraph"/>
        <w:numPr>
          <w:ilvl w:val="0"/>
          <w:numId w:val="15"/>
        </w:numPr>
        <w:spacing w:after="40"/>
        <w:jc w:val="both"/>
        <w:rPr>
          <w:rFonts w:cs="Arial"/>
          <w:szCs w:val="24"/>
        </w:rPr>
      </w:pPr>
      <w:r w:rsidRPr="001728BE">
        <w:rPr>
          <w:rFonts w:cs="Arial"/>
          <w:szCs w:val="24"/>
        </w:rPr>
        <w:t>There are three periods of public consultation, rather than two;</w:t>
      </w:r>
    </w:p>
    <w:p w:rsidR="008011D6" w:rsidRPr="001728BE" w:rsidRDefault="008011D6" w:rsidP="008011D6">
      <w:pPr>
        <w:pStyle w:val="ListParagraph"/>
        <w:numPr>
          <w:ilvl w:val="0"/>
          <w:numId w:val="15"/>
        </w:numPr>
        <w:spacing w:after="40"/>
        <w:jc w:val="both"/>
        <w:rPr>
          <w:rFonts w:cs="Arial"/>
          <w:szCs w:val="24"/>
        </w:rPr>
      </w:pPr>
      <w:r w:rsidRPr="001728BE">
        <w:rPr>
          <w:rFonts w:cs="Arial"/>
          <w:szCs w:val="24"/>
        </w:rPr>
        <w:t>Public hearings now take place during the secondary consultation period rather than the first;</w:t>
      </w:r>
    </w:p>
    <w:p w:rsidR="008011D6" w:rsidRPr="001728BE" w:rsidRDefault="008011D6" w:rsidP="008011D6">
      <w:pPr>
        <w:pStyle w:val="ListParagraph"/>
        <w:numPr>
          <w:ilvl w:val="0"/>
          <w:numId w:val="15"/>
        </w:numPr>
        <w:spacing w:after="40"/>
        <w:jc w:val="both"/>
        <w:rPr>
          <w:rFonts w:cs="Arial"/>
          <w:szCs w:val="24"/>
        </w:rPr>
      </w:pPr>
      <w:r w:rsidRPr="001728BE">
        <w:rPr>
          <w:rFonts w:cs="Arial"/>
          <w:szCs w:val="24"/>
        </w:rPr>
        <w:t>The interval between reviews will be 8 years once the 2023 Review is completed, meaning the next review</w:t>
      </w:r>
      <w:r w:rsidR="00D64295">
        <w:rPr>
          <w:rFonts w:cs="Arial"/>
          <w:szCs w:val="24"/>
        </w:rPr>
        <w:t xml:space="preserve"> after 2023</w:t>
      </w:r>
      <w:r w:rsidRPr="001728BE">
        <w:rPr>
          <w:rFonts w:cs="Arial"/>
          <w:szCs w:val="24"/>
        </w:rPr>
        <w:t xml:space="preserve"> is currently antici</w:t>
      </w:r>
      <w:r w:rsidR="00147D8F">
        <w:rPr>
          <w:rFonts w:cs="Arial"/>
          <w:szCs w:val="24"/>
        </w:rPr>
        <w:t>pated to</w:t>
      </w:r>
      <w:r w:rsidRPr="001728BE">
        <w:rPr>
          <w:rFonts w:cs="Arial"/>
          <w:szCs w:val="24"/>
        </w:rPr>
        <w:t xml:space="preserve"> finish in 2031;</w:t>
      </w:r>
    </w:p>
    <w:p w:rsidR="00057762" w:rsidRDefault="008011D6" w:rsidP="00BD6AA2">
      <w:pPr>
        <w:pStyle w:val="ListParagraph"/>
        <w:numPr>
          <w:ilvl w:val="0"/>
          <w:numId w:val="15"/>
        </w:numPr>
        <w:ind w:left="714" w:hanging="357"/>
        <w:rPr>
          <w:rFonts w:cs="Arial"/>
          <w:szCs w:val="24"/>
        </w:rPr>
      </w:pPr>
      <w:r w:rsidRPr="001728BE">
        <w:rPr>
          <w:rFonts w:cs="Arial"/>
          <w:szCs w:val="24"/>
        </w:rPr>
        <w:t>Other changes include reintroduction of the ‘inconvenience’ Rule 5 factor and a change to the Parliamentary process after submission</w:t>
      </w:r>
      <w:r w:rsidR="00147D8F">
        <w:rPr>
          <w:rFonts w:cs="Arial"/>
          <w:szCs w:val="24"/>
        </w:rPr>
        <w:t>.</w:t>
      </w:r>
    </w:p>
    <w:p w:rsidR="00BD6AA2" w:rsidRPr="000F7C84" w:rsidRDefault="00BD6AA2" w:rsidP="000F7C84">
      <w:pPr>
        <w:rPr>
          <w:rFonts w:cs="Arial"/>
          <w:szCs w:val="24"/>
        </w:rPr>
      </w:pPr>
    </w:p>
    <w:p w:rsidR="00BD6AA2" w:rsidRDefault="00057762" w:rsidP="00BD6AA2">
      <w:pPr>
        <w:autoSpaceDE w:val="0"/>
        <w:autoSpaceDN w:val="0"/>
        <w:adjustRightInd w:val="0"/>
        <w:jc w:val="both"/>
        <w:rPr>
          <w:rFonts w:cs="Arial"/>
          <w:szCs w:val="24"/>
        </w:rPr>
      </w:pPr>
      <w:r w:rsidRPr="001728BE">
        <w:rPr>
          <w:rFonts w:cs="Arial"/>
          <w:szCs w:val="24"/>
        </w:rPr>
        <w:t xml:space="preserve">The Act specifies which electorate figures are to be used by the Commission when carrying out a review. For the 2023 Review, the Commission is required to use the total number of persons whose names appeared on the electoral register as at 2 March 2020. The Commission has obtained the </w:t>
      </w:r>
      <w:hyperlink r:id="rId17" w:history="1">
        <w:r w:rsidRPr="001728BE">
          <w:rPr>
            <w:rStyle w:val="Hyperlink"/>
            <w:rFonts w:cs="Arial"/>
            <w:szCs w:val="24"/>
          </w:rPr>
          <w:t>electorate figures</w:t>
        </w:r>
      </w:hyperlink>
      <w:r w:rsidRPr="001728BE">
        <w:rPr>
          <w:rFonts w:cs="Arial"/>
          <w:szCs w:val="24"/>
        </w:rPr>
        <w:t xml:space="preserve"> for the 2023 Review from the Electoral Office for Northern Ireland.</w:t>
      </w:r>
    </w:p>
    <w:p w:rsidR="00BD6AA2" w:rsidRDefault="00BD6AA2" w:rsidP="00BD6AA2">
      <w:pPr>
        <w:autoSpaceDE w:val="0"/>
        <w:autoSpaceDN w:val="0"/>
        <w:adjustRightInd w:val="0"/>
        <w:jc w:val="both"/>
        <w:rPr>
          <w:rFonts w:cs="Arial"/>
          <w:szCs w:val="24"/>
        </w:rPr>
      </w:pPr>
    </w:p>
    <w:p w:rsidR="00FF2384" w:rsidRPr="00BD6AA2" w:rsidRDefault="001728BE" w:rsidP="00BD6AA2">
      <w:pPr>
        <w:autoSpaceDE w:val="0"/>
        <w:autoSpaceDN w:val="0"/>
        <w:adjustRightInd w:val="0"/>
        <w:jc w:val="both"/>
        <w:rPr>
          <w:rFonts w:cs="Arial"/>
          <w:szCs w:val="24"/>
        </w:rPr>
      </w:pPr>
      <w:r>
        <w:rPr>
          <w:rFonts w:cs="Arial"/>
          <w:szCs w:val="24"/>
        </w:rPr>
        <w:t xml:space="preserve">A mathematical formula specified in the Act is used to distribute constituencies across the four parts of the United Kingdom. For the 2023 Review, Northern Ireland has 18 seats, compared to 17 for the 2018 Review. </w:t>
      </w:r>
      <w:r w:rsidR="000F3A9F">
        <w:rPr>
          <w:rFonts w:cs="Arial"/>
          <w:szCs w:val="24"/>
        </w:rPr>
        <w:t>The Act also specifies a mathematical formula which is used to calculate the number of electors which must be in each proposed constituency.</w:t>
      </w:r>
    </w:p>
    <w:p w:rsidR="00FF2384" w:rsidRPr="00FF2384" w:rsidRDefault="00FF2384" w:rsidP="00FF2384">
      <w:pPr>
        <w:pStyle w:val="ListParagraph"/>
        <w:autoSpaceDE w:val="0"/>
        <w:autoSpaceDN w:val="0"/>
        <w:adjustRightInd w:val="0"/>
        <w:ind w:left="0"/>
        <w:contextualSpacing w:val="0"/>
        <w:jc w:val="both"/>
      </w:pPr>
    </w:p>
    <w:p w:rsidR="00057762" w:rsidRDefault="00147D8F" w:rsidP="00147D8F">
      <w:pPr>
        <w:pStyle w:val="ListParagraph"/>
        <w:autoSpaceDE w:val="0"/>
        <w:autoSpaceDN w:val="0"/>
        <w:adjustRightInd w:val="0"/>
        <w:ind w:left="0"/>
        <w:contextualSpacing w:val="0"/>
        <w:jc w:val="both"/>
        <w:rPr>
          <w:rFonts w:cs="Arial"/>
          <w:szCs w:val="24"/>
        </w:rPr>
      </w:pPr>
      <w:r>
        <w:rPr>
          <w:rFonts w:cs="Arial"/>
          <w:szCs w:val="24"/>
        </w:rPr>
        <w:t xml:space="preserve">As </w:t>
      </w:r>
      <w:r w:rsidR="003C5174">
        <w:rPr>
          <w:rFonts w:cs="Arial"/>
          <w:szCs w:val="24"/>
        </w:rPr>
        <w:t>provided for by the</w:t>
      </w:r>
      <w:r>
        <w:rPr>
          <w:rFonts w:cs="Arial"/>
          <w:szCs w:val="24"/>
        </w:rPr>
        <w:t xml:space="preserve"> legislation, Commissioners may</w:t>
      </w:r>
      <w:r w:rsidR="001572E9">
        <w:rPr>
          <w:rFonts w:cs="Arial"/>
          <w:szCs w:val="24"/>
        </w:rPr>
        <w:t xml:space="preserve"> take into account a number of factors, if and to such extent as they think fit, when deciding on their recommendations for Parliamentary constituencies. </w:t>
      </w:r>
    </w:p>
    <w:p w:rsidR="00147D8F" w:rsidRPr="00147D8F" w:rsidRDefault="00147D8F" w:rsidP="00147D8F">
      <w:pPr>
        <w:pStyle w:val="ListParagraph"/>
        <w:autoSpaceDE w:val="0"/>
        <w:autoSpaceDN w:val="0"/>
        <w:adjustRightInd w:val="0"/>
        <w:ind w:left="0"/>
        <w:contextualSpacing w:val="0"/>
        <w:jc w:val="both"/>
      </w:pPr>
    </w:p>
    <w:p w:rsidR="000C5A02" w:rsidRPr="00A10E81" w:rsidRDefault="00CD0BD5" w:rsidP="00727715">
      <w:pPr>
        <w:pStyle w:val="Heading2"/>
      </w:pPr>
      <w:bookmarkStart w:id="11" w:name="_Toc82682181"/>
      <w:r>
        <w:t>3</w:t>
      </w:r>
      <w:r w:rsidR="000C5A02" w:rsidRPr="00A10E81">
        <w:t>.2 Framework Document</w:t>
      </w:r>
      <w:bookmarkEnd w:id="11"/>
      <w:r w:rsidR="000C5A02" w:rsidRPr="00A10E81">
        <w:t xml:space="preserve"> </w:t>
      </w:r>
    </w:p>
    <w:p w:rsidR="000F7C84" w:rsidRDefault="000C5A02" w:rsidP="00BD6AA2">
      <w:pPr>
        <w:rPr>
          <w:rFonts w:cs="Arial"/>
          <w:szCs w:val="24"/>
        </w:rPr>
        <w:sectPr w:rsidR="000F7C84" w:rsidSect="009F494D">
          <w:footerReference w:type="default" r:id="rId18"/>
          <w:footerReference w:type="first" r:id="rId19"/>
          <w:type w:val="continuous"/>
          <w:pgSz w:w="11906" w:h="16838" w:code="9"/>
          <w:pgMar w:top="1440" w:right="1440" w:bottom="1440" w:left="1440" w:header="709" w:footer="709" w:gutter="0"/>
          <w:cols w:space="708"/>
          <w:titlePg/>
          <w:docGrid w:linePitch="360"/>
        </w:sectPr>
      </w:pPr>
      <w:r>
        <w:rPr>
          <w:rFonts w:cs="Arial"/>
          <w:szCs w:val="24"/>
        </w:rPr>
        <w:t>The Commission</w:t>
      </w:r>
      <w:r w:rsidRPr="00880A49">
        <w:rPr>
          <w:rFonts w:cs="Arial"/>
          <w:szCs w:val="24"/>
        </w:rPr>
        <w:t xml:space="preserve"> operate</w:t>
      </w:r>
      <w:r>
        <w:rPr>
          <w:rFonts w:cs="Arial"/>
          <w:szCs w:val="24"/>
        </w:rPr>
        <w:t>s</w:t>
      </w:r>
      <w:r w:rsidRPr="00880A49">
        <w:rPr>
          <w:rFonts w:cs="Arial"/>
          <w:szCs w:val="24"/>
        </w:rPr>
        <w:t xml:space="preserve"> </w:t>
      </w:r>
      <w:r>
        <w:rPr>
          <w:rFonts w:cs="Arial"/>
          <w:szCs w:val="24"/>
        </w:rPr>
        <w:t>in accordance with</w:t>
      </w:r>
      <w:r w:rsidRPr="00880A49">
        <w:rPr>
          <w:rFonts w:cs="Arial"/>
          <w:szCs w:val="24"/>
        </w:rPr>
        <w:t xml:space="preserve"> a Framework Document which outlines the respective roles of the Commission and the Northern Ireland Office</w:t>
      </w:r>
      <w:r w:rsidR="00147D8F">
        <w:rPr>
          <w:rFonts w:cs="Arial"/>
          <w:szCs w:val="24"/>
        </w:rPr>
        <w:t>,</w:t>
      </w:r>
      <w:r w:rsidRPr="00880A49">
        <w:rPr>
          <w:rFonts w:cs="Arial"/>
          <w:szCs w:val="24"/>
        </w:rPr>
        <w:t xml:space="preserve"> and the govern</w:t>
      </w:r>
      <w:r w:rsidR="000F7C84">
        <w:rPr>
          <w:rFonts w:cs="Arial"/>
          <w:szCs w:val="24"/>
        </w:rPr>
        <w:t>ance arrangements between them.</w:t>
      </w:r>
    </w:p>
    <w:p w:rsidR="000C5A02" w:rsidRPr="00A10E81" w:rsidRDefault="00CD0BD5" w:rsidP="00727715">
      <w:pPr>
        <w:pStyle w:val="Heading2"/>
      </w:pPr>
      <w:bookmarkStart w:id="12" w:name="_Toc82682182"/>
      <w:r>
        <w:lastRenderedPageBreak/>
        <w:t>3</w:t>
      </w:r>
      <w:r w:rsidR="000C5A02" w:rsidRPr="00A10E81">
        <w:t>.3 Data Protection</w:t>
      </w:r>
      <w:bookmarkEnd w:id="12"/>
      <w:r w:rsidR="000C5A02" w:rsidRPr="00A10E81">
        <w:t xml:space="preserve"> </w:t>
      </w:r>
    </w:p>
    <w:p w:rsidR="0098296D" w:rsidRDefault="000C5A02" w:rsidP="000C5A02">
      <w:pPr>
        <w:rPr>
          <w:rFonts w:cs="Arial"/>
          <w:szCs w:val="24"/>
        </w:rPr>
      </w:pPr>
      <w:r w:rsidRPr="00880A49">
        <w:rPr>
          <w:rFonts w:cs="Arial"/>
          <w:szCs w:val="24"/>
        </w:rPr>
        <w:t xml:space="preserve">Our handling of personal information under </w:t>
      </w:r>
      <w:r w:rsidR="000F7008">
        <w:rPr>
          <w:rFonts w:cs="Arial"/>
          <w:szCs w:val="24"/>
        </w:rPr>
        <w:t xml:space="preserve">General Data Protection </w:t>
      </w:r>
      <w:r w:rsidR="00B41D58">
        <w:rPr>
          <w:rFonts w:cs="Arial"/>
          <w:szCs w:val="24"/>
        </w:rPr>
        <w:t>Regulations and</w:t>
      </w:r>
      <w:r w:rsidR="000F7008">
        <w:rPr>
          <w:rFonts w:cs="Arial"/>
          <w:szCs w:val="24"/>
        </w:rPr>
        <w:t xml:space="preserve"> </w:t>
      </w:r>
      <w:r w:rsidRPr="00880A49">
        <w:rPr>
          <w:rFonts w:cs="Arial"/>
          <w:szCs w:val="24"/>
        </w:rPr>
        <w:t xml:space="preserve">Data Protection legislation is covered by the Commission’s registration with the Information Commissioner’s Office. Our </w:t>
      </w:r>
      <w:r w:rsidR="008A20B5">
        <w:rPr>
          <w:rFonts w:cs="Arial"/>
          <w:szCs w:val="24"/>
        </w:rPr>
        <w:t>Data Protection and Privacy Policy</w:t>
      </w:r>
      <w:r w:rsidR="004F5DDC">
        <w:rPr>
          <w:rFonts w:cs="Arial"/>
          <w:szCs w:val="24"/>
        </w:rPr>
        <w:t xml:space="preserve"> sets</w:t>
      </w:r>
      <w:r w:rsidRPr="00880A49">
        <w:rPr>
          <w:rFonts w:cs="Arial"/>
          <w:szCs w:val="24"/>
        </w:rPr>
        <w:t xml:space="preserve"> out </w:t>
      </w:r>
      <w:r w:rsidR="0013208D">
        <w:rPr>
          <w:rFonts w:cs="Arial"/>
          <w:szCs w:val="24"/>
        </w:rPr>
        <w:t>how the Commission</w:t>
      </w:r>
      <w:r w:rsidRPr="00880A49">
        <w:rPr>
          <w:rFonts w:cs="Arial"/>
          <w:szCs w:val="24"/>
        </w:rPr>
        <w:t xml:space="preserve"> handl</w:t>
      </w:r>
      <w:r w:rsidR="0013208D">
        <w:rPr>
          <w:rFonts w:cs="Arial"/>
          <w:szCs w:val="24"/>
        </w:rPr>
        <w:t>es</w:t>
      </w:r>
      <w:r w:rsidRPr="00880A49">
        <w:rPr>
          <w:rFonts w:cs="Arial"/>
          <w:szCs w:val="24"/>
        </w:rPr>
        <w:t xml:space="preserve"> personal information</w:t>
      </w:r>
      <w:r w:rsidR="0013208D">
        <w:rPr>
          <w:rFonts w:cs="Arial"/>
          <w:szCs w:val="24"/>
        </w:rPr>
        <w:t>.</w:t>
      </w:r>
    </w:p>
    <w:p w:rsidR="0098296D" w:rsidRDefault="0098296D">
      <w:pPr>
        <w:spacing w:after="200"/>
        <w:rPr>
          <w:rFonts w:cs="Arial"/>
          <w:szCs w:val="24"/>
        </w:rPr>
      </w:pPr>
      <w:r>
        <w:rPr>
          <w:rFonts w:cs="Arial"/>
          <w:szCs w:val="24"/>
        </w:rPr>
        <w:br w:type="page"/>
      </w:r>
    </w:p>
    <w:p w:rsidR="000C5A02" w:rsidRPr="007D3907" w:rsidRDefault="00CD0BD5" w:rsidP="00154777">
      <w:pPr>
        <w:pStyle w:val="Heading1"/>
      </w:pPr>
      <w:bookmarkStart w:id="13" w:name="_Toc82682183"/>
      <w:r>
        <w:lastRenderedPageBreak/>
        <w:t>Section 4:</w:t>
      </w:r>
      <w:r w:rsidR="000C5A02" w:rsidRPr="007D3907">
        <w:t xml:space="preserve"> Enquiries and Information</w:t>
      </w:r>
      <w:bookmarkEnd w:id="13"/>
      <w:r w:rsidR="000C5A02" w:rsidRPr="007D3907">
        <w:t xml:space="preserve"> </w:t>
      </w:r>
    </w:p>
    <w:p w:rsidR="000C5A02" w:rsidRDefault="000C5A02" w:rsidP="007E5270">
      <w:pPr>
        <w:spacing w:after="360"/>
        <w:rPr>
          <w:rFonts w:cs="Arial"/>
          <w:szCs w:val="24"/>
        </w:rPr>
      </w:pPr>
      <w:r>
        <w:rPr>
          <w:rFonts w:cs="Arial"/>
          <w:szCs w:val="24"/>
        </w:rPr>
        <w:t>The Commission</w:t>
      </w:r>
      <w:r w:rsidRPr="003D0561">
        <w:rPr>
          <w:rFonts w:cs="Arial"/>
          <w:szCs w:val="24"/>
        </w:rPr>
        <w:t xml:space="preserve"> use</w:t>
      </w:r>
      <w:r>
        <w:rPr>
          <w:rFonts w:cs="Arial"/>
          <w:szCs w:val="24"/>
        </w:rPr>
        <w:t>s its</w:t>
      </w:r>
      <w:r w:rsidRPr="003D0561">
        <w:rPr>
          <w:rFonts w:cs="Arial"/>
          <w:szCs w:val="24"/>
        </w:rPr>
        <w:t xml:space="preserve"> website </w:t>
      </w:r>
      <w:r>
        <w:rPr>
          <w:rFonts w:cs="Arial"/>
          <w:szCs w:val="24"/>
        </w:rPr>
        <w:t xml:space="preserve">and </w:t>
      </w:r>
      <w:r w:rsidR="00E60560">
        <w:rPr>
          <w:rFonts w:cs="Arial"/>
          <w:szCs w:val="24"/>
        </w:rPr>
        <w:t xml:space="preserve">social media </w:t>
      </w:r>
      <w:r w:rsidR="005D30E4">
        <w:rPr>
          <w:rFonts w:cs="Arial"/>
          <w:szCs w:val="24"/>
        </w:rPr>
        <w:t>presence</w:t>
      </w:r>
      <w:r w:rsidR="00E60560">
        <w:rPr>
          <w:rFonts w:cs="Arial"/>
          <w:szCs w:val="24"/>
        </w:rPr>
        <w:t xml:space="preserve"> on</w:t>
      </w:r>
      <w:r w:rsidR="005D30E4">
        <w:rPr>
          <w:rFonts w:cs="Arial"/>
          <w:szCs w:val="24"/>
        </w:rPr>
        <w:t xml:space="preserve"> </w:t>
      </w:r>
      <w:r w:rsidR="00E60560">
        <w:rPr>
          <w:rFonts w:cs="Arial"/>
          <w:szCs w:val="24"/>
        </w:rPr>
        <w:t xml:space="preserve">Twitter </w:t>
      </w:r>
      <w:r>
        <w:rPr>
          <w:rFonts w:cs="Arial"/>
          <w:szCs w:val="24"/>
        </w:rPr>
        <w:t xml:space="preserve">as channels </w:t>
      </w:r>
      <w:r w:rsidRPr="003D0561">
        <w:rPr>
          <w:rFonts w:cs="Arial"/>
          <w:szCs w:val="24"/>
        </w:rPr>
        <w:t xml:space="preserve">to inform the public about </w:t>
      </w:r>
      <w:r w:rsidR="0013208D">
        <w:rPr>
          <w:rFonts w:cs="Arial"/>
          <w:szCs w:val="24"/>
        </w:rPr>
        <w:t>its</w:t>
      </w:r>
      <w:r w:rsidR="0013208D" w:rsidRPr="003D0561">
        <w:rPr>
          <w:rFonts w:cs="Arial"/>
          <w:szCs w:val="24"/>
        </w:rPr>
        <w:t xml:space="preserve"> </w:t>
      </w:r>
      <w:r w:rsidRPr="003D0561">
        <w:rPr>
          <w:rFonts w:cs="Arial"/>
          <w:szCs w:val="24"/>
        </w:rPr>
        <w:t xml:space="preserve">work. In addition, </w:t>
      </w:r>
      <w:r w:rsidR="00147D8F">
        <w:rPr>
          <w:rFonts w:cs="Arial"/>
          <w:szCs w:val="24"/>
        </w:rPr>
        <w:t>we welcome requests for information</w:t>
      </w:r>
      <w:r w:rsidR="0013208D">
        <w:rPr>
          <w:rFonts w:cs="Arial"/>
          <w:szCs w:val="24"/>
        </w:rPr>
        <w:t xml:space="preserve"> </w:t>
      </w:r>
      <w:r w:rsidR="00147D8F">
        <w:rPr>
          <w:rFonts w:cs="Arial"/>
          <w:szCs w:val="24"/>
        </w:rPr>
        <w:t>through other means, such as</w:t>
      </w:r>
      <w:r w:rsidRPr="003D0561">
        <w:rPr>
          <w:rFonts w:cs="Arial"/>
          <w:szCs w:val="24"/>
        </w:rPr>
        <w:t xml:space="preserve"> by email, letter or phone</w:t>
      </w:r>
      <w:r w:rsidR="00443424">
        <w:rPr>
          <w:rFonts w:cs="Arial"/>
          <w:szCs w:val="24"/>
        </w:rPr>
        <w:t>.</w:t>
      </w:r>
    </w:p>
    <w:p w:rsidR="000C5A02" w:rsidRPr="00A10E81" w:rsidRDefault="00CD0BD5" w:rsidP="00727715">
      <w:pPr>
        <w:pStyle w:val="Heading2"/>
      </w:pPr>
      <w:bookmarkStart w:id="14" w:name="_Toc82682184"/>
      <w:r>
        <w:t>4</w:t>
      </w:r>
      <w:r w:rsidR="000C5A02" w:rsidRPr="00A10E81">
        <w:t>.1 Enquiries</w:t>
      </w:r>
      <w:bookmarkEnd w:id="14"/>
      <w:r w:rsidR="000C5A02" w:rsidRPr="00A10E81">
        <w:t xml:space="preserve"> </w:t>
      </w:r>
    </w:p>
    <w:p w:rsidR="000C5A02" w:rsidRDefault="000C5A02" w:rsidP="000C5A02">
      <w:pPr>
        <w:rPr>
          <w:rFonts w:cs="Arial"/>
          <w:szCs w:val="24"/>
        </w:rPr>
      </w:pPr>
      <w:r>
        <w:rPr>
          <w:rFonts w:cs="Arial"/>
          <w:szCs w:val="24"/>
        </w:rPr>
        <w:t>The Commission</w:t>
      </w:r>
      <w:r w:rsidRPr="003D0561">
        <w:rPr>
          <w:rFonts w:cs="Arial"/>
          <w:szCs w:val="24"/>
        </w:rPr>
        <w:t xml:space="preserve"> ha</w:t>
      </w:r>
      <w:r>
        <w:rPr>
          <w:rFonts w:cs="Arial"/>
          <w:szCs w:val="24"/>
        </w:rPr>
        <w:t>s</w:t>
      </w:r>
      <w:r w:rsidRPr="003D0561">
        <w:rPr>
          <w:rFonts w:cs="Arial"/>
          <w:szCs w:val="24"/>
        </w:rPr>
        <w:t xml:space="preserve"> a Freedom of Information policy which incorporates the Information Commissioner’s Office </w:t>
      </w:r>
      <w:r w:rsidR="009D4663">
        <w:rPr>
          <w:rFonts w:cs="Arial"/>
          <w:szCs w:val="24"/>
        </w:rPr>
        <w:t xml:space="preserve">(ICO) </w:t>
      </w:r>
      <w:r w:rsidRPr="003D0561">
        <w:rPr>
          <w:rFonts w:cs="Arial"/>
          <w:szCs w:val="24"/>
        </w:rPr>
        <w:t xml:space="preserve">model Publication Scheme for public bodies under the Freedom of Information Act 2000. </w:t>
      </w:r>
      <w:r>
        <w:rPr>
          <w:rFonts w:cs="Arial"/>
          <w:szCs w:val="24"/>
        </w:rPr>
        <w:t>The Commission’s</w:t>
      </w:r>
      <w:r w:rsidRPr="003D0561">
        <w:rPr>
          <w:rFonts w:cs="Arial"/>
          <w:szCs w:val="24"/>
        </w:rPr>
        <w:t xml:space="preserve"> </w:t>
      </w:r>
      <w:hyperlink r:id="rId20" w:history="1">
        <w:r w:rsidR="0010519A" w:rsidRPr="00F658C7">
          <w:rPr>
            <w:rStyle w:val="Hyperlink"/>
            <w:rFonts w:cs="Arial"/>
            <w:szCs w:val="24"/>
          </w:rPr>
          <w:t xml:space="preserve">Freedom of Information </w:t>
        </w:r>
        <w:r w:rsidRPr="00F658C7">
          <w:rPr>
            <w:rStyle w:val="Hyperlink"/>
            <w:rFonts w:cs="Arial"/>
            <w:szCs w:val="24"/>
          </w:rPr>
          <w:t>Policy and Publication Scheme</w:t>
        </w:r>
      </w:hyperlink>
      <w:r w:rsidRPr="00F658C7">
        <w:rPr>
          <w:rFonts w:cs="Arial"/>
          <w:szCs w:val="24"/>
        </w:rPr>
        <w:t xml:space="preserve"> </w:t>
      </w:r>
      <w:r w:rsidR="00181A15" w:rsidRPr="00F658C7">
        <w:rPr>
          <w:rFonts w:cs="Arial"/>
          <w:szCs w:val="24"/>
        </w:rPr>
        <w:t xml:space="preserve">is </w:t>
      </w:r>
      <w:r w:rsidRPr="00F658C7">
        <w:rPr>
          <w:rFonts w:cs="Arial"/>
          <w:szCs w:val="24"/>
        </w:rPr>
        <w:t>available on its website</w:t>
      </w:r>
      <w:r w:rsidR="00A6424E">
        <w:rPr>
          <w:rFonts w:cs="Arial"/>
          <w:szCs w:val="24"/>
        </w:rPr>
        <w:t>.</w:t>
      </w:r>
    </w:p>
    <w:p w:rsidR="00F658C7" w:rsidRDefault="00F658C7" w:rsidP="000C5A02">
      <w:pPr>
        <w:rPr>
          <w:rFonts w:cs="Arial"/>
          <w:szCs w:val="24"/>
        </w:rPr>
      </w:pPr>
    </w:p>
    <w:p w:rsidR="00F341BE" w:rsidRPr="007C1536" w:rsidRDefault="00F341BE" w:rsidP="00F341BE">
      <w:pPr>
        <w:spacing w:after="360"/>
        <w:rPr>
          <w:rFonts w:cs="Arial"/>
          <w:szCs w:val="24"/>
        </w:rPr>
      </w:pPr>
      <w:r w:rsidRPr="00F341BE">
        <w:rPr>
          <w:rFonts w:cs="Arial"/>
          <w:szCs w:val="24"/>
        </w:rPr>
        <w:t>During the period of this Report</w:t>
      </w:r>
      <w:r w:rsidR="00CA579A">
        <w:rPr>
          <w:rFonts w:cs="Arial"/>
          <w:szCs w:val="24"/>
        </w:rPr>
        <w:t>,</w:t>
      </w:r>
      <w:r w:rsidRPr="00F341BE">
        <w:rPr>
          <w:rFonts w:cs="Arial"/>
          <w:szCs w:val="24"/>
        </w:rPr>
        <w:t xml:space="preserve"> the Secretariat received and responded to a num</w:t>
      </w:r>
      <w:r w:rsidR="00EC722F">
        <w:rPr>
          <w:rFonts w:cs="Arial"/>
          <w:szCs w:val="24"/>
        </w:rPr>
        <w:t>ber of enquiries relating</w:t>
      </w:r>
      <w:r w:rsidRPr="00F341BE">
        <w:rPr>
          <w:rFonts w:cs="Arial"/>
          <w:szCs w:val="24"/>
        </w:rPr>
        <w:t xml:space="preserve"> to the ongoing work of the Commission. Fifteen requests for information were made under the Freedom of Information Act and all were answered within the statutory deadline f</w:t>
      </w:r>
      <w:r w:rsidR="00147D8F">
        <w:rPr>
          <w:rFonts w:cs="Arial"/>
          <w:szCs w:val="24"/>
        </w:rPr>
        <w:t>or dealing with such requests. </w:t>
      </w:r>
      <w:r w:rsidRPr="00F341BE">
        <w:rPr>
          <w:rFonts w:cs="Arial"/>
          <w:szCs w:val="24"/>
        </w:rPr>
        <w:t>The</w:t>
      </w:r>
      <w:r w:rsidR="00147D8F">
        <w:rPr>
          <w:rFonts w:cs="Arial"/>
          <w:szCs w:val="24"/>
        </w:rPr>
        <w:t xml:space="preserve"> nature of these enquiries included requests for details around </w:t>
      </w:r>
      <w:r w:rsidRPr="00F341BE">
        <w:rPr>
          <w:rFonts w:cs="Arial"/>
          <w:szCs w:val="24"/>
        </w:rPr>
        <w:t xml:space="preserve">various contracts relating to the Commission’s IT and telephony provision, mailing provision, Facilities Management provision, </w:t>
      </w:r>
      <w:r w:rsidR="00147D8F">
        <w:rPr>
          <w:rFonts w:cs="Arial"/>
          <w:szCs w:val="24"/>
        </w:rPr>
        <w:t>as well as operational queries.</w:t>
      </w:r>
      <w:r w:rsidRPr="00F341BE">
        <w:rPr>
          <w:rFonts w:cs="Arial"/>
          <w:szCs w:val="24"/>
        </w:rPr>
        <w:t xml:space="preserve"> No requests for review or appeals to the Information Commissioner's Office were made regarding the handling of these information requests.</w:t>
      </w:r>
    </w:p>
    <w:p w:rsidR="000C5A02" w:rsidRPr="00A10E81" w:rsidRDefault="00CD0BD5" w:rsidP="00727715">
      <w:pPr>
        <w:pStyle w:val="Heading2"/>
      </w:pPr>
      <w:bookmarkStart w:id="15" w:name="_Toc82682185"/>
      <w:r>
        <w:t>4</w:t>
      </w:r>
      <w:r w:rsidR="000C5A02" w:rsidRPr="00A10E81">
        <w:t>.2 Website</w:t>
      </w:r>
      <w:bookmarkEnd w:id="15"/>
    </w:p>
    <w:p w:rsidR="00805F84" w:rsidRPr="00841FBC" w:rsidRDefault="000C5A02">
      <w:pPr>
        <w:rPr>
          <w:rFonts w:cs="Arial"/>
          <w:szCs w:val="24"/>
        </w:rPr>
      </w:pPr>
      <w:r>
        <w:rPr>
          <w:rFonts w:cs="Arial"/>
          <w:szCs w:val="24"/>
        </w:rPr>
        <w:t>The Commission’s</w:t>
      </w:r>
      <w:r w:rsidRPr="003D0561">
        <w:rPr>
          <w:rFonts w:cs="Arial"/>
          <w:szCs w:val="24"/>
        </w:rPr>
        <w:t xml:space="preserve"> website is the primary means </w:t>
      </w:r>
      <w:r>
        <w:rPr>
          <w:rFonts w:cs="Arial"/>
          <w:szCs w:val="24"/>
        </w:rPr>
        <w:t xml:space="preserve">of </w:t>
      </w:r>
      <w:r w:rsidRPr="003D0561">
        <w:rPr>
          <w:rFonts w:cs="Arial"/>
          <w:szCs w:val="24"/>
        </w:rPr>
        <w:t>mak</w:t>
      </w:r>
      <w:r>
        <w:rPr>
          <w:rFonts w:cs="Arial"/>
          <w:szCs w:val="24"/>
        </w:rPr>
        <w:t>ing</w:t>
      </w:r>
      <w:r w:rsidRPr="003D0561">
        <w:rPr>
          <w:rFonts w:cs="Arial"/>
          <w:szCs w:val="24"/>
        </w:rPr>
        <w:t xml:space="preserve"> information available to the public</w:t>
      </w:r>
      <w:r w:rsidR="00890997">
        <w:rPr>
          <w:rFonts w:cs="Arial"/>
          <w:szCs w:val="24"/>
        </w:rPr>
        <w:t>.</w:t>
      </w:r>
      <w:r w:rsidRPr="003D0561">
        <w:rPr>
          <w:rFonts w:cs="Arial"/>
          <w:szCs w:val="24"/>
        </w:rPr>
        <w:t xml:space="preserve"> </w:t>
      </w:r>
      <w:r w:rsidR="00790C50">
        <w:rPr>
          <w:rFonts w:cs="Arial"/>
          <w:szCs w:val="24"/>
        </w:rPr>
        <w:t>The Commission also has</w:t>
      </w:r>
      <w:r w:rsidR="007F41B4">
        <w:rPr>
          <w:rFonts w:cs="Arial"/>
          <w:szCs w:val="24"/>
        </w:rPr>
        <w:t xml:space="preserve"> </w:t>
      </w:r>
      <w:r w:rsidR="00B41D58">
        <w:rPr>
          <w:rFonts w:cs="Arial"/>
          <w:szCs w:val="24"/>
        </w:rPr>
        <w:t xml:space="preserve">a Twitter account </w:t>
      </w:r>
      <w:r>
        <w:rPr>
          <w:rFonts w:cs="Arial"/>
          <w:szCs w:val="24"/>
        </w:rPr>
        <w:t>to help reach a wider audience.</w:t>
      </w:r>
      <w:r w:rsidR="007F41B4">
        <w:rPr>
          <w:rFonts w:cs="Arial"/>
          <w:szCs w:val="24"/>
        </w:rPr>
        <w:t xml:space="preserve"> During </w:t>
      </w:r>
      <w:r w:rsidR="00790C50">
        <w:rPr>
          <w:rFonts w:cs="Arial"/>
          <w:szCs w:val="24"/>
        </w:rPr>
        <w:t>the period of this Report</w:t>
      </w:r>
      <w:r w:rsidR="0024291E">
        <w:rPr>
          <w:rFonts w:cs="Arial"/>
          <w:szCs w:val="24"/>
        </w:rPr>
        <w:t>, a</w:t>
      </w:r>
      <w:r w:rsidR="007A704F">
        <w:rPr>
          <w:rFonts w:cs="Arial"/>
          <w:szCs w:val="24"/>
        </w:rPr>
        <w:t>n accessibility audit was carried out and improvements to</w:t>
      </w:r>
      <w:r w:rsidR="00B20B0A">
        <w:rPr>
          <w:rFonts w:cs="Arial"/>
          <w:szCs w:val="24"/>
        </w:rPr>
        <w:t xml:space="preserve"> the Commission’s website</w:t>
      </w:r>
      <w:r w:rsidR="00A85CD4">
        <w:rPr>
          <w:rFonts w:cs="Arial"/>
          <w:szCs w:val="24"/>
        </w:rPr>
        <w:t xml:space="preserve"> were made, in line with statut</w:t>
      </w:r>
      <w:r w:rsidR="007A704F">
        <w:rPr>
          <w:rFonts w:cs="Arial"/>
          <w:szCs w:val="24"/>
        </w:rPr>
        <w:t>o</w:t>
      </w:r>
      <w:r w:rsidR="00A85CD4">
        <w:rPr>
          <w:rFonts w:cs="Arial"/>
          <w:szCs w:val="24"/>
        </w:rPr>
        <w:t>r</w:t>
      </w:r>
      <w:r w:rsidR="007A704F">
        <w:rPr>
          <w:rFonts w:cs="Arial"/>
          <w:szCs w:val="24"/>
        </w:rPr>
        <w:t xml:space="preserve">y requirements. </w:t>
      </w:r>
      <w:r w:rsidR="0024291E">
        <w:rPr>
          <w:rFonts w:cs="Arial"/>
          <w:szCs w:val="24"/>
        </w:rPr>
        <w:t xml:space="preserve">The website was also updated with relevant information about the 2023 Review. </w:t>
      </w:r>
      <w:r w:rsidR="00805F84">
        <w:rPr>
          <w:rFonts w:cs="Arial"/>
          <w:b/>
          <w:color w:val="1F497D" w:themeColor="text2"/>
          <w:szCs w:val="24"/>
        </w:rPr>
        <w:br w:type="page"/>
      </w:r>
    </w:p>
    <w:p w:rsidR="000C5A02" w:rsidRPr="007D3907" w:rsidRDefault="00CD0BD5" w:rsidP="00154777">
      <w:pPr>
        <w:pStyle w:val="Heading1"/>
      </w:pPr>
      <w:bookmarkStart w:id="16" w:name="_Toc82682186"/>
      <w:r>
        <w:lastRenderedPageBreak/>
        <w:t>Section 5:</w:t>
      </w:r>
      <w:r w:rsidR="00B130B9">
        <w:t xml:space="preserve"> The 2023</w:t>
      </w:r>
      <w:r w:rsidR="000C5A02" w:rsidRPr="007D3907">
        <w:t xml:space="preserve"> Review of Parliamentary Constituencies</w:t>
      </w:r>
      <w:bookmarkEnd w:id="16"/>
      <w:r w:rsidR="000C5A02" w:rsidRPr="007D3907">
        <w:t xml:space="preserve"> </w:t>
      </w:r>
    </w:p>
    <w:p w:rsidR="00B04E00" w:rsidRPr="00B04E00" w:rsidRDefault="00CD0BD5" w:rsidP="00727715">
      <w:pPr>
        <w:pStyle w:val="Heading2"/>
      </w:pPr>
      <w:bookmarkStart w:id="17" w:name="_Toc82682187"/>
      <w:r>
        <w:t>5</w:t>
      </w:r>
      <w:r w:rsidR="00B04E00" w:rsidRPr="00B04E00">
        <w:t xml:space="preserve">.1 The </w:t>
      </w:r>
      <w:r w:rsidR="009C426C">
        <w:t xml:space="preserve">2023 </w:t>
      </w:r>
      <w:r w:rsidR="00B04E00" w:rsidRPr="00B04E00">
        <w:t>Review</w:t>
      </w:r>
      <w:bookmarkEnd w:id="17"/>
    </w:p>
    <w:p w:rsidR="00B04E00" w:rsidRDefault="00E71460" w:rsidP="00473687">
      <w:pPr>
        <w:rPr>
          <w:rFonts w:cs="Arial"/>
          <w:szCs w:val="24"/>
        </w:rPr>
      </w:pPr>
      <w:r>
        <w:rPr>
          <w:rFonts w:cs="Arial"/>
          <w:szCs w:val="24"/>
        </w:rPr>
        <w:t xml:space="preserve">The Commission </w:t>
      </w:r>
      <w:r w:rsidR="00B130B9">
        <w:rPr>
          <w:rFonts w:cs="Arial"/>
          <w:szCs w:val="24"/>
        </w:rPr>
        <w:t>began work on the</w:t>
      </w:r>
      <w:r w:rsidRPr="00880A49">
        <w:rPr>
          <w:rFonts w:cs="Arial"/>
          <w:szCs w:val="24"/>
        </w:rPr>
        <w:t xml:space="preserve"> 20</w:t>
      </w:r>
      <w:r w:rsidR="00D45E14">
        <w:rPr>
          <w:rFonts w:cs="Arial"/>
          <w:szCs w:val="24"/>
        </w:rPr>
        <w:t>23</w:t>
      </w:r>
      <w:r w:rsidRPr="00880A49">
        <w:rPr>
          <w:rFonts w:cs="Arial"/>
          <w:szCs w:val="24"/>
        </w:rPr>
        <w:t xml:space="preserve"> Review of Parliamentary Constituencies</w:t>
      </w:r>
      <w:r>
        <w:rPr>
          <w:rFonts w:cs="Arial"/>
          <w:szCs w:val="24"/>
        </w:rPr>
        <w:t xml:space="preserve"> </w:t>
      </w:r>
      <w:r w:rsidR="00B130B9">
        <w:rPr>
          <w:rFonts w:cs="Arial"/>
          <w:szCs w:val="24"/>
        </w:rPr>
        <w:t xml:space="preserve">in </w:t>
      </w:r>
      <w:r w:rsidR="00D45E14">
        <w:rPr>
          <w:rFonts w:cs="Arial"/>
          <w:szCs w:val="24"/>
        </w:rPr>
        <w:t>January</w:t>
      </w:r>
      <w:r w:rsidRPr="00880A49">
        <w:rPr>
          <w:rFonts w:cs="Arial"/>
          <w:szCs w:val="24"/>
        </w:rPr>
        <w:t xml:space="preserve"> 20</w:t>
      </w:r>
      <w:r w:rsidR="00D45E14">
        <w:rPr>
          <w:rFonts w:cs="Arial"/>
          <w:szCs w:val="24"/>
        </w:rPr>
        <w:t>21</w:t>
      </w:r>
      <w:r w:rsidRPr="00880A49">
        <w:rPr>
          <w:rFonts w:cs="Arial"/>
          <w:szCs w:val="24"/>
        </w:rPr>
        <w:t xml:space="preserve">. </w:t>
      </w:r>
      <w:r w:rsidR="00B130B9" w:rsidRPr="00B130B9">
        <w:rPr>
          <w:rFonts w:cs="Arial"/>
          <w:szCs w:val="24"/>
        </w:rPr>
        <w:t>The publication of the Commission’s initial proposals and the first period of public consultation is planned for autumn 2021. The Commission’s final recommendations are due to be submitted to the Speaker of the House of Commons, who is the Chair of all four UK Boundary Commissions, by 1</w:t>
      </w:r>
      <w:r w:rsidR="00B130B9" w:rsidRPr="00B130B9">
        <w:rPr>
          <w:rFonts w:cs="Arial"/>
          <w:szCs w:val="24"/>
          <w:vertAlign w:val="superscript"/>
        </w:rPr>
        <w:t>st</w:t>
      </w:r>
      <w:r w:rsidR="00B130B9" w:rsidRPr="00B130B9">
        <w:rPr>
          <w:rFonts w:cs="Arial"/>
          <w:szCs w:val="24"/>
        </w:rPr>
        <w:t> July 2023.</w:t>
      </w:r>
    </w:p>
    <w:p w:rsidR="00727715" w:rsidRPr="00B130B9" w:rsidRDefault="00727715" w:rsidP="00473687">
      <w:pPr>
        <w:rPr>
          <w:rFonts w:cs="Arial"/>
          <w:szCs w:val="28"/>
        </w:rPr>
      </w:pPr>
    </w:p>
    <w:p w:rsidR="00EF5938" w:rsidRPr="00EF5938" w:rsidRDefault="00CD0BD5" w:rsidP="00727715">
      <w:pPr>
        <w:pStyle w:val="Heading2"/>
      </w:pPr>
      <w:bookmarkStart w:id="18" w:name="_Toc82682188"/>
      <w:r>
        <w:t>5</w:t>
      </w:r>
      <w:r w:rsidR="00B04E00" w:rsidRPr="00752ED6">
        <w:t xml:space="preserve">.2 </w:t>
      </w:r>
      <w:r w:rsidR="009C426C" w:rsidRPr="00752ED6">
        <w:t>Impact of the Parliamentary Constituencies Act 2020</w:t>
      </w:r>
      <w:bookmarkEnd w:id="18"/>
    </w:p>
    <w:p w:rsidR="00D270A5" w:rsidRDefault="00D270A5" w:rsidP="00D270A5">
      <w:pPr>
        <w:rPr>
          <w:rFonts w:ascii="Calibri" w:eastAsia="Calibri" w:hAnsi="Calibri" w:cs="Calibri"/>
          <w:sz w:val="22"/>
        </w:rPr>
      </w:pPr>
      <w:r w:rsidRPr="00D270A5">
        <w:rPr>
          <w:rFonts w:eastAsia="Calibri" w:cs="Arial"/>
          <w:szCs w:val="24"/>
        </w:rPr>
        <w:t>The Boundary Commission was judicially reviewed in relation to its Final Recommendations Report of the 2018 Boundary Review. The Court of Appeal judgment on 4 June 2020 sent the Final Recommendations Report back to the Commission for reconsideration on a number of points. However, in delivering judgment, the Court observed that no reconsideration by the Commission would be required should new legislation be enacted so as to abandon the 2018 Review. The Parliamentary Constituencies Act 2020 was passed in December 2020, bringing the 2018 Review to a close without implementation</w:t>
      </w:r>
      <w:r w:rsidR="00EC722F">
        <w:rPr>
          <w:rFonts w:eastAsia="Calibri" w:cs="Arial"/>
          <w:szCs w:val="24"/>
        </w:rPr>
        <w:t>.</w:t>
      </w:r>
    </w:p>
    <w:p w:rsidR="00D270A5" w:rsidRPr="00D270A5" w:rsidRDefault="00D270A5" w:rsidP="00D270A5">
      <w:pPr>
        <w:rPr>
          <w:rFonts w:ascii="Calibri" w:eastAsia="Calibri" w:hAnsi="Calibri" w:cs="Calibri"/>
          <w:sz w:val="22"/>
        </w:rPr>
      </w:pPr>
    </w:p>
    <w:p w:rsidR="00B130B9" w:rsidRPr="00752ED6" w:rsidRDefault="00177C96" w:rsidP="009C426C">
      <w:pPr>
        <w:spacing w:after="360"/>
        <w:rPr>
          <w:rFonts w:cs="Arial"/>
          <w:szCs w:val="24"/>
        </w:rPr>
      </w:pPr>
      <w:r>
        <w:rPr>
          <w:rFonts w:cs="Arial"/>
          <w:szCs w:val="24"/>
        </w:rPr>
        <w:t>The 2020 Act also</w:t>
      </w:r>
      <w:r w:rsidR="00EF5938" w:rsidRPr="00EF5938" w:rsidDel="00A132CA">
        <w:rPr>
          <w:rFonts w:cs="Arial"/>
          <w:szCs w:val="24"/>
        </w:rPr>
        <w:t xml:space="preserve"> </w:t>
      </w:r>
      <w:r w:rsidR="00EF5938" w:rsidRPr="00EF5938">
        <w:rPr>
          <w:rFonts w:cs="Arial"/>
          <w:szCs w:val="24"/>
        </w:rPr>
        <w:t>introduced some key changes to the statutory boundary review process</w:t>
      </w:r>
      <w:r w:rsidR="00F06B0B">
        <w:rPr>
          <w:rFonts w:cs="Arial"/>
          <w:szCs w:val="24"/>
        </w:rPr>
        <w:t>, as set out at 3</w:t>
      </w:r>
      <w:r>
        <w:rPr>
          <w:rFonts w:cs="Arial"/>
          <w:szCs w:val="24"/>
        </w:rPr>
        <w:t>.1 above.</w:t>
      </w:r>
    </w:p>
    <w:p w:rsidR="009C426C" w:rsidRPr="00752ED6" w:rsidRDefault="00CD0BD5" w:rsidP="00727715">
      <w:pPr>
        <w:pStyle w:val="Heading2"/>
      </w:pPr>
      <w:bookmarkStart w:id="19" w:name="_Toc82682189"/>
      <w:r>
        <w:t>5</w:t>
      </w:r>
      <w:r w:rsidR="009C426C" w:rsidRPr="00752ED6">
        <w:t>.3 The Guide to the 2023 Review</w:t>
      </w:r>
      <w:bookmarkEnd w:id="19"/>
    </w:p>
    <w:p w:rsidR="003877F9" w:rsidRDefault="009C426C" w:rsidP="000C5A02">
      <w:pPr>
        <w:rPr>
          <w:rFonts w:cs="Arial"/>
          <w:szCs w:val="28"/>
        </w:rPr>
      </w:pPr>
      <w:r>
        <w:rPr>
          <w:rFonts w:cs="Arial"/>
          <w:szCs w:val="28"/>
        </w:rPr>
        <w:t>In May 2021, the Commission</w:t>
      </w:r>
      <w:r w:rsidRPr="009C426C">
        <w:rPr>
          <w:rFonts w:cs="Arial"/>
          <w:szCs w:val="28"/>
        </w:rPr>
        <w:t xml:space="preserve"> published its Guide to the 2023 Review of Parliamentary Constituencies. The Guide includes informat</w:t>
      </w:r>
      <w:r>
        <w:rPr>
          <w:rFonts w:cs="Arial"/>
          <w:szCs w:val="28"/>
        </w:rPr>
        <w:t>ion on the</w:t>
      </w:r>
      <w:r w:rsidRPr="009C426C">
        <w:rPr>
          <w:rFonts w:cs="Arial"/>
          <w:szCs w:val="28"/>
        </w:rPr>
        <w:t xml:space="preserve"> boundary review process and outlines how members of the public, political parties and wider civic society will be able to share their views.</w:t>
      </w:r>
      <w:r>
        <w:rPr>
          <w:rFonts w:cs="Arial"/>
          <w:szCs w:val="28"/>
        </w:rPr>
        <w:t xml:space="preserve"> The Guide can be found on the Commission’s website - </w:t>
      </w:r>
      <w:hyperlink r:id="rId21" w:history="1">
        <w:r w:rsidRPr="009C426C">
          <w:rPr>
            <w:rStyle w:val="Hyperlink"/>
            <w:rFonts w:cs="Arial"/>
            <w:szCs w:val="28"/>
          </w:rPr>
          <w:t>https://www.boundarycommission.org.uk/publications/guide-2023-review</w:t>
        </w:r>
      </w:hyperlink>
      <w:r>
        <w:rPr>
          <w:rFonts w:cs="Arial"/>
          <w:szCs w:val="28"/>
        </w:rPr>
        <w:t>.</w:t>
      </w:r>
    </w:p>
    <w:p w:rsidR="000C5A02" w:rsidRDefault="000C5A02" w:rsidP="000C5A02">
      <w:pPr>
        <w:rPr>
          <w:rFonts w:cs="Arial"/>
          <w:b/>
          <w:sz w:val="28"/>
          <w:szCs w:val="28"/>
        </w:rPr>
      </w:pPr>
      <w:r>
        <w:rPr>
          <w:rFonts w:cs="Arial"/>
          <w:b/>
          <w:sz w:val="28"/>
          <w:szCs w:val="28"/>
        </w:rPr>
        <w:br w:type="page"/>
      </w:r>
    </w:p>
    <w:p w:rsidR="000C5A02" w:rsidRPr="007D3907" w:rsidRDefault="00CD0BD5" w:rsidP="00154777">
      <w:pPr>
        <w:pStyle w:val="Heading1"/>
      </w:pPr>
      <w:bookmarkStart w:id="20" w:name="_Toc82682190"/>
      <w:r>
        <w:lastRenderedPageBreak/>
        <w:t>Section 6:</w:t>
      </w:r>
      <w:r w:rsidR="000C5A02" w:rsidRPr="007D3907">
        <w:t xml:space="preserve"> Other activities</w:t>
      </w:r>
      <w:bookmarkEnd w:id="20"/>
      <w:r w:rsidR="000C5A02" w:rsidRPr="007D3907">
        <w:t xml:space="preserve"> </w:t>
      </w:r>
    </w:p>
    <w:p w:rsidR="000C5A02" w:rsidRPr="00A10E81" w:rsidRDefault="00CD0BD5" w:rsidP="00727715">
      <w:pPr>
        <w:pStyle w:val="Heading2"/>
      </w:pPr>
      <w:bookmarkStart w:id="21" w:name="_Toc82682191"/>
      <w:r>
        <w:t>6</w:t>
      </w:r>
      <w:r w:rsidR="000C5A02" w:rsidRPr="00A10E81">
        <w:t>.1 Accommodation and IT provision</w:t>
      </w:r>
      <w:bookmarkEnd w:id="21"/>
      <w:r w:rsidR="000C5A02" w:rsidRPr="00A10E81">
        <w:t xml:space="preserve"> </w:t>
      </w:r>
    </w:p>
    <w:p w:rsidR="000C5A02" w:rsidRDefault="00C70E67" w:rsidP="00642167">
      <w:r>
        <w:t>T</w:t>
      </w:r>
      <w:r w:rsidR="000C5A02">
        <w:t>he Commission</w:t>
      </w:r>
      <w:r w:rsidR="009C426C">
        <w:t>’s offices are</w:t>
      </w:r>
      <w:r>
        <w:t xml:space="preserve"> located in</w:t>
      </w:r>
      <w:r w:rsidR="000C5A02">
        <w:t xml:space="preserve"> </w:t>
      </w:r>
      <w:r w:rsidR="000C5A02" w:rsidRPr="003D0561">
        <w:t xml:space="preserve">the Bungalow, Stormont House, Stormont Estate, Belfast BT4 3SH.  </w:t>
      </w:r>
      <w:r w:rsidR="007E1E56">
        <w:t>For</w:t>
      </w:r>
      <w:r w:rsidR="004420FB">
        <w:t xml:space="preserve"> the period of this Report, </w:t>
      </w:r>
      <w:r w:rsidR="007E1E56">
        <w:t xml:space="preserve">staff have been </w:t>
      </w:r>
      <w:r w:rsidR="004420FB">
        <w:t>carrying out their duties</w:t>
      </w:r>
      <w:r w:rsidR="007E1E56">
        <w:t xml:space="preserve"> in line with public health guidanc</w:t>
      </w:r>
      <w:r w:rsidR="004420FB">
        <w:t>e, including working from home.</w:t>
      </w:r>
    </w:p>
    <w:p w:rsidR="00F06B0B" w:rsidRPr="003D0561" w:rsidRDefault="00F06B0B" w:rsidP="00642167"/>
    <w:p w:rsidR="0023335A" w:rsidRDefault="004420FB" w:rsidP="00642167">
      <w:r>
        <w:t>The</w:t>
      </w:r>
      <w:r w:rsidR="000C5A02" w:rsidRPr="003D0561">
        <w:t xml:space="preserve"> </w:t>
      </w:r>
      <w:r w:rsidR="000C5A02">
        <w:t>Commission</w:t>
      </w:r>
      <w:r w:rsidR="000C5A02" w:rsidRPr="003D0561">
        <w:t xml:space="preserve"> </w:t>
      </w:r>
      <w:r w:rsidR="00A273EF">
        <w:t>has continued to</w:t>
      </w:r>
      <w:r w:rsidR="000C5A02" w:rsidRPr="003D0561">
        <w:t xml:space="preserve"> utilis</w:t>
      </w:r>
      <w:r w:rsidR="00A273EF">
        <w:t>e</w:t>
      </w:r>
      <w:r w:rsidR="000C5A02" w:rsidRPr="003D0561">
        <w:t xml:space="preserve"> the comprehensive service provid</w:t>
      </w:r>
      <w:r w:rsidR="000C5A02">
        <w:t>ed by IT Assist for</w:t>
      </w:r>
      <w:r>
        <w:t xml:space="preserve"> its</w:t>
      </w:r>
      <w:r w:rsidR="000C5A02">
        <w:t xml:space="preserve"> IT and t</w:t>
      </w:r>
      <w:r w:rsidR="000C5A02" w:rsidRPr="003D0561">
        <w:t>elephony</w:t>
      </w:r>
      <w:r w:rsidR="000C5A02">
        <w:t xml:space="preserve"> requirements</w:t>
      </w:r>
      <w:r w:rsidR="000C5A02" w:rsidRPr="003D0561">
        <w:t>.</w:t>
      </w:r>
    </w:p>
    <w:p w:rsidR="00642167" w:rsidRPr="003D0561" w:rsidRDefault="00642167" w:rsidP="00642167"/>
    <w:p w:rsidR="000C5A02" w:rsidRPr="00A10E81" w:rsidRDefault="00CD0BD5" w:rsidP="00727715">
      <w:pPr>
        <w:pStyle w:val="Heading2"/>
      </w:pPr>
      <w:bookmarkStart w:id="22" w:name="_Toc82682192"/>
      <w:r>
        <w:t>6</w:t>
      </w:r>
      <w:r w:rsidR="000C5A02" w:rsidRPr="00A10E81">
        <w:t>.2 Risk Management</w:t>
      </w:r>
      <w:bookmarkEnd w:id="22"/>
      <w:r w:rsidR="000C5A02" w:rsidRPr="00A10E81">
        <w:t xml:space="preserve"> </w:t>
      </w:r>
    </w:p>
    <w:p w:rsidR="000C5A02" w:rsidRDefault="004420FB" w:rsidP="00642167">
      <w:r>
        <w:t>Our</w:t>
      </w:r>
      <w:r w:rsidR="000C5A02" w:rsidRPr="003D0561">
        <w:t xml:space="preserve"> Risk Management framework </w:t>
      </w:r>
      <w:r>
        <w:t>is in place, and is kept</w:t>
      </w:r>
      <w:r w:rsidR="009F494D">
        <w:t xml:space="preserve"> under review.</w:t>
      </w:r>
    </w:p>
    <w:p w:rsidR="00642167" w:rsidRPr="003D0561" w:rsidRDefault="00642167" w:rsidP="00642167"/>
    <w:p w:rsidR="000C5A02" w:rsidRPr="00A10E81" w:rsidRDefault="00CD0BD5" w:rsidP="00727715">
      <w:pPr>
        <w:pStyle w:val="Heading2"/>
      </w:pPr>
      <w:bookmarkStart w:id="23" w:name="_Toc82682193"/>
      <w:r>
        <w:t>6</w:t>
      </w:r>
      <w:r w:rsidR="000C5A02" w:rsidRPr="00A10E81">
        <w:t>.3 Staffing and training</w:t>
      </w:r>
      <w:bookmarkEnd w:id="23"/>
      <w:r w:rsidR="000C5A02" w:rsidRPr="00A10E81">
        <w:t xml:space="preserve"> </w:t>
      </w:r>
    </w:p>
    <w:p w:rsidR="000C5A02" w:rsidRDefault="000C5A02" w:rsidP="00642167">
      <w:r w:rsidRPr="003D0561">
        <w:t xml:space="preserve">Training </w:t>
      </w:r>
      <w:r w:rsidR="00A52191">
        <w:t>has been delivered during this reporting year in line with</w:t>
      </w:r>
      <w:r w:rsidR="00A273EF">
        <w:t xml:space="preserve"> </w:t>
      </w:r>
      <w:r w:rsidR="00C36C22">
        <w:t>Commission</w:t>
      </w:r>
      <w:r w:rsidR="00A273EF">
        <w:t xml:space="preserve"> </w:t>
      </w:r>
      <w:r w:rsidR="00A52191">
        <w:t xml:space="preserve">and staff </w:t>
      </w:r>
      <w:r w:rsidR="00A273EF">
        <w:t>requirements</w:t>
      </w:r>
      <w:r w:rsidRPr="003D0561">
        <w:t>.</w:t>
      </w:r>
    </w:p>
    <w:p w:rsidR="00642167" w:rsidRPr="003D0561" w:rsidRDefault="00642167" w:rsidP="00642167"/>
    <w:p w:rsidR="000C5A02" w:rsidRDefault="00CD0BD5" w:rsidP="00727715">
      <w:pPr>
        <w:pStyle w:val="Heading2"/>
      </w:pPr>
      <w:bookmarkStart w:id="24" w:name="_Toc82682194"/>
      <w:r>
        <w:t>6</w:t>
      </w:r>
      <w:r w:rsidR="000C5A02" w:rsidRPr="00A10E81">
        <w:t>.4 Liaison with others</w:t>
      </w:r>
      <w:bookmarkEnd w:id="24"/>
      <w:r w:rsidR="000C5A02" w:rsidRPr="00A10E81">
        <w:t xml:space="preserve"> </w:t>
      </w:r>
    </w:p>
    <w:p w:rsidR="00CD0BD5" w:rsidRPr="00CD0BD5" w:rsidRDefault="00CD0BD5" w:rsidP="00CD0BD5"/>
    <w:p w:rsidR="000C5A02" w:rsidRPr="00A10E81" w:rsidRDefault="00CD0BD5" w:rsidP="00B9176A">
      <w:pPr>
        <w:pStyle w:val="Heading3"/>
      </w:pPr>
      <w:bookmarkStart w:id="25" w:name="_Toc82682195"/>
      <w:r>
        <w:t>6</w:t>
      </w:r>
      <w:r w:rsidR="000C5A02" w:rsidRPr="00A10E81">
        <w:t>.4.1 Northern Ireland Office</w:t>
      </w:r>
      <w:bookmarkEnd w:id="25"/>
      <w:r w:rsidR="000C5A02" w:rsidRPr="00A10E81">
        <w:t xml:space="preserve"> </w:t>
      </w:r>
    </w:p>
    <w:p w:rsidR="000C5A02" w:rsidRDefault="000C5A02" w:rsidP="00642167">
      <w:r w:rsidRPr="003D0561">
        <w:t>We have regular dialogue with the Northern Ireland Office as our sponsoring department</w:t>
      </w:r>
      <w:r w:rsidR="004420FB">
        <w:t>,</w:t>
      </w:r>
      <w:r w:rsidR="00FD7562">
        <w:t xml:space="preserve"> in line with the Framework Document.</w:t>
      </w:r>
    </w:p>
    <w:p w:rsidR="00642167" w:rsidRPr="003D0561" w:rsidRDefault="00642167" w:rsidP="00642167"/>
    <w:p w:rsidR="000C5A02" w:rsidRPr="00A10E81" w:rsidRDefault="00CD0BD5" w:rsidP="00B9176A">
      <w:pPr>
        <w:pStyle w:val="Heading3"/>
      </w:pPr>
      <w:bookmarkStart w:id="26" w:name="_Toc82682196"/>
      <w:r>
        <w:t>6</w:t>
      </w:r>
      <w:r w:rsidR="000C5A02" w:rsidRPr="00A10E81">
        <w:t>.4.2 Other Boundary Commissions</w:t>
      </w:r>
      <w:bookmarkEnd w:id="26"/>
      <w:r w:rsidR="000C5A02" w:rsidRPr="00A10E81">
        <w:t xml:space="preserve"> </w:t>
      </w:r>
    </w:p>
    <w:p w:rsidR="000C5A02" w:rsidRDefault="000C5A02" w:rsidP="00642167">
      <w:r w:rsidRPr="003D0561">
        <w:t>The Commission maintain</w:t>
      </w:r>
      <w:r>
        <w:t>s</w:t>
      </w:r>
      <w:r w:rsidRPr="003D0561">
        <w:t xml:space="preserve"> regular contact with the other UK Boundary Commissions on matters of mutual interest. </w:t>
      </w:r>
      <w:r w:rsidR="00312DF9">
        <w:t xml:space="preserve"> </w:t>
      </w:r>
      <w:r w:rsidRPr="003D0561">
        <w:t xml:space="preserve">The Commission </w:t>
      </w:r>
      <w:r w:rsidR="00A273EF">
        <w:t xml:space="preserve">attended </w:t>
      </w:r>
      <w:r w:rsidRPr="003D0561">
        <w:t xml:space="preserve">the annual meeting of UK Boundary Commissions </w:t>
      </w:r>
      <w:r w:rsidR="007D518B">
        <w:t xml:space="preserve">via video </w:t>
      </w:r>
      <w:r w:rsidR="007D518B" w:rsidRPr="004420FB">
        <w:t>link</w:t>
      </w:r>
      <w:r w:rsidR="00C36C22" w:rsidRPr="004420FB">
        <w:t xml:space="preserve"> </w:t>
      </w:r>
      <w:r w:rsidR="007D518B" w:rsidRPr="004420FB">
        <w:t xml:space="preserve">in </w:t>
      </w:r>
      <w:r w:rsidR="00C36C22" w:rsidRPr="004420FB">
        <w:t>November 20</w:t>
      </w:r>
      <w:r w:rsidR="004475E1" w:rsidRPr="004420FB">
        <w:t>20</w:t>
      </w:r>
      <w:r w:rsidRPr="004420FB">
        <w:t>.</w:t>
      </w:r>
    </w:p>
    <w:p w:rsidR="00642167" w:rsidRPr="003D0561" w:rsidRDefault="00642167" w:rsidP="00642167"/>
    <w:p w:rsidR="000C5A02" w:rsidRPr="00A10E81" w:rsidRDefault="00CD0BD5" w:rsidP="00B9176A">
      <w:pPr>
        <w:pStyle w:val="Heading3"/>
      </w:pPr>
      <w:bookmarkStart w:id="27" w:name="_Toc82682197"/>
      <w:r>
        <w:t>6</w:t>
      </w:r>
      <w:r w:rsidR="000C5A02" w:rsidRPr="00A10E81">
        <w:t>.4.3 Land and Property Services</w:t>
      </w:r>
      <w:bookmarkEnd w:id="27"/>
      <w:r w:rsidR="000C5A02" w:rsidRPr="00A10E81">
        <w:t xml:space="preserve"> </w:t>
      </w:r>
    </w:p>
    <w:p w:rsidR="005D0672" w:rsidRDefault="00C36C22" w:rsidP="00642167">
      <w:r>
        <w:t xml:space="preserve">During the period of this </w:t>
      </w:r>
      <w:r w:rsidR="004E480F">
        <w:t>R</w:t>
      </w:r>
      <w:r>
        <w:t>eport t</w:t>
      </w:r>
      <w:r w:rsidR="000C5A02">
        <w:t xml:space="preserve">he Commission has </w:t>
      </w:r>
      <w:r>
        <w:t xml:space="preserve">had </w:t>
      </w:r>
      <w:r w:rsidR="000C5A02">
        <w:t xml:space="preserve">regular contact </w:t>
      </w:r>
      <w:r w:rsidR="000C5A02" w:rsidRPr="003D0561">
        <w:t>with Land and Property Services (LPS)</w:t>
      </w:r>
      <w:r>
        <w:t xml:space="preserve"> in relation to the</w:t>
      </w:r>
      <w:r w:rsidR="000C5A02">
        <w:t xml:space="preserve"> </w:t>
      </w:r>
      <w:r w:rsidR="0010696A">
        <w:t>Geographic Information Systems (</w:t>
      </w:r>
      <w:r w:rsidR="000C5A02">
        <w:t>GIS</w:t>
      </w:r>
      <w:r w:rsidR="0010696A">
        <w:t>)</w:t>
      </w:r>
      <w:r w:rsidR="000C5A02">
        <w:t xml:space="preserve"> </w:t>
      </w:r>
      <w:r w:rsidR="00C12DE2">
        <w:t>technology</w:t>
      </w:r>
      <w:r w:rsidR="00C12DE2" w:rsidRPr="003D0561">
        <w:t xml:space="preserve"> </w:t>
      </w:r>
      <w:r w:rsidR="000C5A02" w:rsidRPr="003D0561">
        <w:t xml:space="preserve">needed to support the </w:t>
      </w:r>
      <w:r w:rsidR="00790C50">
        <w:t>Parliamentary</w:t>
      </w:r>
      <w:r w:rsidR="000C5A02" w:rsidRPr="003D0561">
        <w:t xml:space="preserve"> Review</w:t>
      </w:r>
      <w:r w:rsidR="008B3C5D">
        <w:t>,</w:t>
      </w:r>
      <w:r>
        <w:t xml:space="preserve"> </w:t>
      </w:r>
      <w:r w:rsidR="008F6DA7">
        <w:t xml:space="preserve">and </w:t>
      </w:r>
      <w:r w:rsidR="004420FB">
        <w:t>the delivery of related mapping</w:t>
      </w:r>
      <w:r w:rsidR="009F494D">
        <w:t>.</w:t>
      </w:r>
    </w:p>
    <w:p w:rsidR="00642167" w:rsidRDefault="00642167" w:rsidP="000C5A02">
      <w:pPr>
        <w:rPr>
          <w:rFonts w:cs="Arial"/>
          <w:szCs w:val="28"/>
        </w:rPr>
      </w:pPr>
    </w:p>
    <w:p w:rsidR="000C5A02" w:rsidRPr="00A10E81" w:rsidRDefault="00CD0BD5" w:rsidP="00B9176A">
      <w:pPr>
        <w:pStyle w:val="Heading3"/>
      </w:pPr>
      <w:bookmarkStart w:id="28" w:name="_Toc82682198"/>
      <w:r>
        <w:t>6</w:t>
      </w:r>
      <w:r w:rsidR="000C5A02" w:rsidRPr="00A10E81">
        <w:t>.4.4 Northern Ireland Statistics and Research Agency</w:t>
      </w:r>
      <w:bookmarkEnd w:id="28"/>
      <w:r w:rsidR="000C5A02" w:rsidRPr="00A10E81">
        <w:t xml:space="preserve"> </w:t>
      </w:r>
    </w:p>
    <w:p w:rsidR="008D321A" w:rsidRDefault="000C5A02" w:rsidP="00642167">
      <w:r w:rsidRPr="004420FB">
        <w:t>The Commission liaises with staff of the Northern Ireland Statistics and Research Agency (NI</w:t>
      </w:r>
      <w:r w:rsidR="004420FB">
        <w:t>SRA) in relation to statistical and geo-statistical</w:t>
      </w:r>
      <w:r w:rsidRPr="004420FB">
        <w:t xml:space="preserve"> matters.</w:t>
      </w:r>
    </w:p>
    <w:p w:rsidR="00642167" w:rsidRPr="003D0561" w:rsidRDefault="00642167" w:rsidP="00642167"/>
    <w:p w:rsidR="000C5A02" w:rsidRPr="00A10E81" w:rsidRDefault="00CD0BD5" w:rsidP="00B9176A">
      <w:pPr>
        <w:pStyle w:val="Heading3"/>
      </w:pPr>
      <w:bookmarkStart w:id="29" w:name="_Toc82682199"/>
      <w:r>
        <w:t>6</w:t>
      </w:r>
      <w:r w:rsidR="000C5A02" w:rsidRPr="00A10E81">
        <w:t>.4.5 The Electoral Office for Northern Ireland</w:t>
      </w:r>
      <w:bookmarkEnd w:id="29"/>
      <w:r w:rsidR="000C5A02" w:rsidRPr="00A10E81">
        <w:t xml:space="preserve"> </w:t>
      </w:r>
    </w:p>
    <w:p w:rsidR="000C5A02" w:rsidRPr="003D0561" w:rsidRDefault="000C5A02" w:rsidP="00642167">
      <w:r w:rsidRPr="003D0561">
        <w:t xml:space="preserve">The </w:t>
      </w:r>
      <w:r>
        <w:t>Commission liaises</w:t>
      </w:r>
      <w:r w:rsidRPr="003D0561">
        <w:t xml:space="preserve"> with </w:t>
      </w:r>
      <w:r>
        <w:t xml:space="preserve">staff of </w:t>
      </w:r>
      <w:r w:rsidRPr="003D0561">
        <w:t xml:space="preserve">the Electoral Office for Northern Ireland </w:t>
      </w:r>
      <w:r>
        <w:t xml:space="preserve">in relation to </w:t>
      </w:r>
      <w:r w:rsidRPr="003D0561">
        <w:t xml:space="preserve">information and </w:t>
      </w:r>
      <w:r>
        <w:t xml:space="preserve">advice on </w:t>
      </w:r>
      <w:r w:rsidRPr="003D0561">
        <w:t xml:space="preserve">electoral </w:t>
      </w:r>
      <w:r w:rsidR="004420FB">
        <w:t>data</w:t>
      </w:r>
      <w:r w:rsidRPr="003D0561">
        <w:t xml:space="preserve"> </w:t>
      </w:r>
      <w:r>
        <w:t xml:space="preserve">required for </w:t>
      </w:r>
      <w:r w:rsidR="00E72AEC">
        <w:t>the</w:t>
      </w:r>
      <w:r w:rsidR="00790C50">
        <w:t xml:space="preserve"> Parliamentary</w:t>
      </w:r>
      <w:r>
        <w:t xml:space="preserve"> Review</w:t>
      </w:r>
      <w:r w:rsidRPr="003D0561">
        <w:t>.</w:t>
      </w:r>
    </w:p>
    <w:p w:rsidR="000C5A02" w:rsidRPr="003D0561" w:rsidRDefault="000C5A02" w:rsidP="000C5A02">
      <w:pPr>
        <w:rPr>
          <w:rFonts w:cs="Arial"/>
          <w:szCs w:val="28"/>
        </w:rPr>
      </w:pPr>
      <w:r w:rsidRPr="003D0561">
        <w:rPr>
          <w:rFonts w:cs="Arial"/>
          <w:szCs w:val="28"/>
        </w:rPr>
        <w:t> </w:t>
      </w:r>
    </w:p>
    <w:p w:rsidR="000C5A02" w:rsidRPr="008D321A" w:rsidRDefault="000C5A02" w:rsidP="00154777">
      <w:pPr>
        <w:pStyle w:val="Heading1"/>
        <w:rPr>
          <w:sz w:val="28"/>
        </w:rPr>
      </w:pPr>
      <w:r>
        <w:rPr>
          <w:sz w:val="28"/>
        </w:rPr>
        <w:br w:type="page"/>
      </w:r>
      <w:bookmarkStart w:id="30" w:name="_Toc82682200"/>
      <w:r w:rsidR="00CD0BD5">
        <w:lastRenderedPageBreak/>
        <w:t>Section 7:</w:t>
      </w:r>
      <w:r w:rsidRPr="007D3907">
        <w:t xml:space="preserve"> Expenditure</w:t>
      </w:r>
      <w:bookmarkEnd w:id="30"/>
      <w:r w:rsidRPr="007D3907">
        <w:t xml:space="preserve"> </w:t>
      </w:r>
    </w:p>
    <w:p w:rsidR="000C5A02" w:rsidRDefault="00E80764" w:rsidP="00642167">
      <w:r w:rsidRPr="00770A21">
        <w:t>The C</w:t>
      </w:r>
      <w:r w:rsidR="00173C4C">
        <w:t>ommission’s operational</w:t>
      </w:r>
      <w:r w:rsidRPr="00770A21">
        <w:t xml:space="preserve"> expen</w:t>
      </w:r>
      <w:r>
        <w:t xml:space="preserve">diture in the financial year </w:t>
      </w:r>
      <w:r w:rsidR="000C5A02" w:rsidRPr="00770A21">
        <w:t>20</w:t>
      </w:r>
      <w:r w:rsidR="00A30F81">
        <w:t>20</w:t>
      </w:r>
      <w:r w:rsidR="00805F84">
        <w:t>/</w:t>
      </w:r>
      <w:r w:rsidR="00C36C22">
        <w:t>202</w:t>
      </w:r>
      <w:r w:rsidR="00A30F81">
        <w:t>1</w:t>
      </w:r>
      <w:r w:rsidR="00173C4C">
        <w:t xml:space="preserve"> is shown in the table below</w:t>
      </w:r>
      <w:r w:rsidR="000C5A02" w:rsidRPr="00770A21">
        <w:t>.</w:t>
      </w:r>
    </w:p>
    <w:p w:rsidR="00173C4C" w:rsidRDefault="00173C4C" w:rsidP="00642167">
      <w:pPr>
        <w:pStyle w:val="Style1"/>
      </w:pPr>
    </w:p>
    <w:tbl>
      <w:tblPr>
        <w:tblW w:w="0" w:type="auto"/>
        <w:tblInd w:w="-10" w:type="dxa"/>
        <w:tblCellMar>
          <w:left w:w="0" w:type="dxa"/>
          <w:right w:w="0" w:type="dxa"/>
        </w:tblCellMar>
        <w:tblLook w:val="04A0" w:firstRow="1" w:lastRow="0" w:firstColumn="1" w:lastColumn="0" w:noHBand="0" w:noVBand="1"/>
      </w:tblPr>
      <w:tblGrid>
        <w:gridCol w:w="4938"/>
        <w:gridCol w:w="3260"/>
      </w:tblGrid>
      <w:tr w:rsidR="00BB2A9C" w:rsidRPr="00173C4C" w:rsidTr="00642167">
        <w:trPr>
          <w:trHeight w:val="1231"/>
          <w:tblHeader/>
        </w:trPr>
        <w:tc>
          <w:tcPr>
            <w:tcW w:w="4938" w:type="dxa"/>
            <w:tcBorders>
              <w:top w:val="single" w:sz="8" w:space="0" w:color="1F497D"/>
              <w:left w:val="single" w:sz="8" w:space="0" w:color="1F497D"/>
              <w:bottom w:val="nil"/>
              <w:right w:val="single" w:sz="8" w:space="0" w:color="1F497D"/>
            </w:tcBorders>
            <w:shd w:val="clear" w:color="auto" w:fill="1F497D"/>
            <w:tcMar>
              <w:top w:w="0" w:type="dxa"/>
              <w:left w:w="108" w:type="dxa"/>
              <w:bottom w:w="0" w:type="dxa"/>
              <w:right w:w="108" w:type="dxa"/>
            </w:tcMar>
          </w:tcPr>
          <w:p w:rsidR="00BB2A9C" w:rsidRPr="00173C4C" w:rsidRDefault="00BB2A9C" w:rsidP="00727715">
            <w:pPr>
              <w:spacing w:after="360"/>
              <w:rPr>
                <w:rFonts w:cs="Arial"/>
                <w:b/>
                <w:color w:val="1F497D" w:themeColor="text2"/>
                <w:szCs w:val="24"/>
              </w:rPr>
            </w:pPr>
          </w:p>
        </w:tc>
        <w:tc>
          <w:tcPr>
            <w:tcW w:w="3260" w:type="dxa"/>
            <w:tcBorders>
              <w:top w:val="single" w:sz="8" w:space="0" w:color="1F497D"/>
              <w:left w:val="nil"/>
              <w:bottom w:val="nil"/>
              <w:right w:val="single" w:sz="8" w:space="0" w:color="1F497D"/>
            </w:tcBorders>
            <w:shd w:val="clear" w:color="auto" w:fill="1F497D"/>
            <w:tcMar>
              <w:top w:w="0" w:type="dxa"/>
              <w:left w:w="108" w:type="dxa"/>
              <w:bottom w:w="0" w:type="dxa"/>
              <w:right w:w="108" w:type="dxa"/>
            </w:tcMar>
            <w:hideMark/>
          </w:tcPr>
          <w:p w:rsidR="00BB2A9C" w:rsidRPr="00506A7F" w:rsidRDefault="00BB2A9C" w:rsidP="00BB2A9C">
            <w:pPr>
              <w:spacing w:before="80" w:after="120"/>
              <w:rPr>
                <w:rFonts w:cs="Arial"/>
                <w:b/>
                <w:color w:val="FFFFFF" w:themeColor="background1"/>
                <w:szCs w:val="28"/>
              </w:rPr>
            </w:pPr>
            <w:r>
              <w:rPr>
                <w:rFonts w:cs="Arial"/>
                <w:b/>
                <w:color w:val="FFFFFF" w:themeColor="background1"/>
                <w:szCs w:val="28"/>
              </w:rPr>
              <w:t>Operational</w:t>
            </w:r>
          </w:p>
          <w:p w:rsidR="00BB2A9C" w:rsidRPr="00BB2A9C" w:rsidRDefault="00BB2A9C" w:rsidP="00BB2A9C">
            <w:pPr>
              <w:spacing w:after="360"/>
              <w:rPr>
                <w:rFonts w:cs="Arial"/>
                <w:b/>
                <w:color w:val="FFFFFF" w:themeColor="background1"/>
                <w:szCs w:val="28"/>
              </w:rPr>
            </w:pPr>
            <w:r w:rsidRPr="00506A7F">
              <w:rPr>
                <w:rFonts w:cs="Arial"/>
                <w:b/>
                <w:color w:val="FFFFFF" w:themeColor="background1"/>
                <w:szCs w:val="28"/>
              </w:rPr>
              <w:t>Expenditure</w:t>
            </w:r>
            <w:r>
              <w:rPr>
                <w:rFonts w:cs="Arial"/>
                <w:b/>
                <w:color w:val="FFFFFF" w:themeColor="background1"/>
                <w:szCs w:val="28"/>
              </w:rPr>
              <w:t xml:space="preserve"> 2020/21</w:t>
            </w:r>
            <w:r w:rsidRPr="00506A7F">
              <w:rPr>
                <w:rFonts w:cs="Arial"/>
                <w:b/>
                <w:color w:val="FFFFFF" w:themeColor="background1"/>
                <w:szCs w:val="28"/>
              </w:rPr>
              <w:t xml:space="preserve"> (£k)</w:t>
            </w:r>
            <w:r w:rsidRPr="00173C4C">
              <w:rPr>
                <w:rFonts w:cs="Arial"/>
                <w:b/>
                <w:bCs/>
                <w:color w:val="1F497D" w:themeColor="text2"/>
                <w:szCs w:val="24"/>
              </w:rPr>
              <w:t xml:space="preserve"> (£k)</w:t>
            </w:r>
          </w:p>
        </w:tc>
      </w:tr>
      <w:tr w:rsidR="00BB2A9C" w:rsidRPr="00173C4C" w:rsidTr="00642167">
        <w:tc>
          <w:tcPr>
            <w:tcW w:w="4938" w:type="dxa"/>
            <w:tcBorders>
              <w:top w:val="single" w:sz="8" w:space="0" w:color="4F81BD"/>
              <w:left w:val="single" w:sz="8" w:space="0" w:color="4F81B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bCs/>
                <w:color w:val="1F497D" w:themeColor="text2"/>
                <w:szCs w:val="24"/>
              </w:rPr>
            </w:pPr>
            <w:r w:rsidRPr="00173C4C">
              <w:rPr>
                <w:rFonts w:cs="Arial"/>
                <w:b/>
                <w:bCs/>
                <w:color w:val="1F497D" w:themeColor="text2"/>
                <w:szCs w:val="24"/>
              </w:rPr>
              <w:t>Staff Costs:</w:t>
            </w:r>
          </w:p>
        </w:tc>
        <w:tc>
          <w:tcPr>
            <w:tcW w:w="3260" w:type="dxa"/>
            <w:tcBorders>
              <w:top w:val="single" w:sz="8" w:space="0" w:color="4F81BD"/>
              <w:left w:val="nil"/>
              <w:bottom w:val="nil"/>
              <w:right w:val="single" w:sz="8" w:space="0" w:color="4F81BD"/>
            </w:tcBorders>
            <w:tcMar>
              <w:top w:w="0" w:type="dxa"/>
              <w:left w:w="108" w:type="dxa"/>
              <w:bottom w:w="0" w:type="dxa"/>
              <w:right w:w="108" w:type="dxa"/>
            </w:tcMar>
          </w:tcPr>
          <w:p w:rsidR="00BB2A9C" w:rsidRPr="00173C4C" w:rsidRDefault="00BB2A9C" w:rsidP="00727715">
            <w:pPr>
              <w:spacing w:after="360"/>
              <w:rPr>
                <w:rFonts w:cs="Arial"/>
                <w:b/>
                <w:color w:val="1F497D" w:themeColor="text2"/>
                <w:szCs w:val="24"/>
              </w:rPr>
            </w:pPr>
          </w:p>
        </w:tc>
      </w:tr>
      <w:tr w:rsidR="00BB2A9C" w:rsidRPr="00173C4C" w:rsidTr="00642167">
        <w:tc>
          <w:tcPr>
            <w:tcW w:w="4938" w:type="dxa"/>
            <w:tcBorders>
              <w:top w:val="nil"/>
              <w:left w:val="single" w:sz="8" w:space="0" w:color="1F497D"/>
              <w:bottom w:val="single" w:sz="8" w:space="0" w:color="1F497D"/>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Salaries &amp; related costs</w:t>
            </w:r>
          </w:p>
        </w:tc>
        <w:tc>
          <w:tcPr>
            <w:tcW w:w="3260" w:type="dxa"/>
            <w:tcBorders>
              <w:top w:val="nil"/>
              <w:left w:val="nil"/>
              <w:bottom w:val="single" w:sz="8" w:space="0" w:color="1F497D"/>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Pr>
                <w:rFonts w:cs="Arial"/>
                <w:b/>
                <w:color w:val="1F497D" w:themeColor="text2"/>
                <w:szCs w:val="24"/>
              </w:rPr>
              <w:t>91.8</w:t>
            </w:r>
          </w:p>
        </w:tc>
      </w:tr>
      <w:tr w:rsidR="00BB2A9C" w:rsidRPr="00173C4C" w:rsidTr="00642167">
        <w:tc>
          <w:tcPr>
            <w:tcW w:w="4938" w:type="dxa"/>
            <w:tcBorders>
              <w:top w:val="nil"/>
              <w:left w:val="single" w:sz="8" w:space="0" w:color="4F81B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bCs/>
                <w:color w:val="1F497D" w:themeColor="text2"/>
                <w:szCs w:val="24"/>
              </w:rPr>
            </w:pPr>
            <w:r>
              <w:rPr>
                <w:rFonts w:cs="Arial"/>
                <w:b/>
                <w:bCs/>
                <w:color w:val="1F497D" w:themeColor="text2"/>
                <w:szCs w:val="24"/>
              </w:rPr>
              <w:t>Commissioners’ C</w:t>
            </w:r>
            <w:r w:rsidRPr="00173C4C">
              <w:rPr>
                <w:rFonts w:cs="Arial"/>
                <w:b/>
                <w:bCs/>
                <w:color w:val="1F497D" w:themeColor="text2"/>
                <w:szCs w:val="24"/>
              </w:rPr>
              <w:t>osts:</w:t>
            </w:r>
          </w:p>
        </w:tc>
        <w:tc>
          <w:tcPr>
            <w:tcW w:w="3260" w:type="dxa"/>
            <w:tcBorders>
              <w:top w:val="nil"/>
              <w:left w:val="nil"/>
              <w:bottom w:val="nil"/>
              <w:right w:val="single" w:sz="8" w:space="0" w:color="4F81BD"/>
            </w:tcBorders>
            <w:tcMar>
              <w:top w:w="0" w:type="dxa"/>
              <w:left w:w="108" w:type="dxa"/>
              <w:bottom w:w="0" w:type="dxa"/>
              <w:right w:w="108" w:type="dxa"/>
            </w:tcMar>
          </w:tcPr>
          <w:p w:rsidR="00BB2A9C" w:rsidRPr="00173C4C" w:rsidRDefault="00BB2A9C" w:rsidP="00727715">
            <w:pPr>
              <w:spacing w:after="360"/>
              <w:rPr>
                <w:rFonts w:cs="Arial"/>
                <w:b/>
                <w:color w:val="1F497D" w:themeColor="text2"/>
                <w:szCs w:val="24"/>
              </w:rPr>
            </w:pPr>
          </w:p>
        </w:tc>
      </w:tr>
      <w:tr w:rsidR="00BB2A9C" w:rsidRPr="00173C4C" w:rsidTr="00642167">
        <w:tc>
          <w:tcPr>
            <w:tcW w:w="4938" w:type="dxa"/>
            <w:tcBorders>
              <w:top w:val="nil"/>
              <w:left w:val="single" w:sz="8" w:space="0" w:color="1F497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Members’ attendance allowances</w:t>
            </w:r>
          </w:p>
        </w:tc>
        <w:tc>
          <w:tcPr>
            <w:tcW w:w="3260" w:type="dxa"/>
            <w:tcBorders>
              <w:top w:val="nil"/>
              <w:left w:val="nil"/>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Pr>
                <w:rFonts w:cs="Arial"/>
                <w:b/>
                <w:color w:val="1F497D" w:themeColor="text2"/>
                <w:szCs w:val="24"/>
              </w:rPr>
              <w:t>17.9</w:t>
            </w:r>
          </w:p>
        </w:tc>
      </w:tr>
      <w:tr w:rsidR="00BB2A9C" w:rsidRPr="00173C4C" w:rsidTr="00642167">
        <w:tc>
          <w:tcPr>
            <w:tcW w:w="4938" w:type="dxa"/>
            <w:tcBorders>
              <w:top w:val="single" w:sz="8" w:space="0" w:color="1F497D"/>
              <w:left w:val="single" w:sz="8" w:space="0" w:color="4F81B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bCs/>
                <w:color w:val="1F497D" w:themeColor="text2"/>
                <w:szCs w:val="24"/>
              </w:rPr>
            </w:pPr>
            <w:r w:rsidRPr="00173C4C">
              <w:rPr>
                <w:rFonts w:cs="Arial"/>
                <w:b/>
                <w:bCs/>
                <w:color w:val="1F497D" w:themeColor="text2"/>
                <w:szCs w:val="24"/>
              </w:rPr>
              <w:t>Non-Staff Costs:</w:t>
            </w:r>
          </w:p>
        </w:tc>
        <w:tc>
          <w:tcPr>
            <w:tcW w:w="3260" w:type="dxa"/>
            <w:tcBorders>
              <w:top w:val="single" w:sz="8" w:space="0" w:color="1F497D"/>
              <w:left w:val="nil"/>
              <w:bottom w:val="nil"/>
              <w:right w:val="single" w:sz="8" w:space="0" w:color="4F81BD"/>
            </w:tcBorders>
            <w:tcMar>
              <w:top w:w="0" w:type="dxa"/>
              <w:left w:w="108" w:type="dxa"/>
              <w:bottom w:w="0" w:type="dxa"/>
              <w:right w:w="108" w:type="dxa"/>
            </w:tcMar>
          </w:tcPr>
          <w:p w:rsidR="00BB2A9C" w:rsidRPr="00173C4C" w:rsidRDefault="00BB2A9C" w:rsidP="00727715">
            <w:pPr>
              <w:spacing w:after="360"/>
              <w:rPr>
                <w:rFonts w:cs="Arial"/>
                <w:b/>
                <w:color w:val="1F497D" w:themeColor="text2"/>
                <w:szCs w:val="24"/>
              </w:rPr>
            </w:pPr>
          </w:p>
        </w:tc>
      </w:tr>
      <w:tr w:rsidR="00BB2A9C" w:rsidRPr="00173C4C" w:rsidTr="00642167">
        <w:tc>
          <w:tcPr>
            <w:tcW w:w="4938" w:type="dxa"/>
            <w:tcBorders>
              <w:top w:val="nil"/>
              <w:left w:val="single" w:sz="8" w:space="0" w:color="1F497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Accommodation &amp; Related Costs</w:t>
            </w:r>
          </w:p>
        </w:tc>
        <w:tc>
          <w:tcPr>
            <w:tcW w:w="3260" w:type="dxa"/>
            <w:tcBorders>
              <w:top w:val="nil"/>
              <w:left w:val="nil"/>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10.0</w:t>
            </w:r>
          </w:p>
        </w:tc>
      </w:tr>
      <w:tr w:rsidR="00BB2A9C" w:rsidRPr="00173C4C" w:rsidTr="00642167">
        <w:tc>
          <w:tcPr>
            <w:tcW w:w="4938" w:type="dxa"/>
            <w:tcBorders>
              <w:top w:val="nil"/>
              <w:left w:val="single" w:sz="8" w:space="0" w:color="1F497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IT &amp; telephony</w:t>
            </w:r>
          </w:p>
        </w:tc>
        <w:tc>
          <w:tcPr>
            <w:tcW w:w="3260" w:type="dxa"/>
            <w:tcBorders>
              <w:top w:val="nil"/>
              <w:left w:val="nil"/>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1.4</w:t>
            </w:r>
          </w:p>
        </w:tc>
      </w:tr>
      <w:tr w:rsidR="00BB2A9C" w:rsidRPr="00173C4C" w:rsidTr="00642167">
        <w:tc>
          <w:tcPr>
            <w:tcW w:w="4938" w:type="dxa"/>
            <w:tcBorders>
              <w:top w:val="nil"/>
              <w:left w:val="single" w:sz="8" w:space="0" w:color="1F497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Professional Fees</w:t>
            </w:r>
            <w:r>
              <w:rPr>
                <w:rFonts w:cs="Arial"/>
                <w:b/>
                <w:color w:val="1F497D" w:themeColor="text2"/>
                <w:szCs w:val="24"/>
              </w:rPr>
              <w:t xml:space="preserve"> &amp; Subscriptions</w:t>
            </w:r>
          </w:p>
        </w:tc>
        <w:tc>
          <w:tcPr>
            <w:tcW w:w="3260" w:type="dxa"/>
            <w:tcBorders>
              <w:top w:val="nil"/>
              <w:left w:val="nil"/>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9.7</w:t>
            </w:r>
          </w:p>
        </w:tc>
      </w:tr>
      <w:tr w:rsidR="00BB2A9C" w:rsidRPr="00173C4C" w:rsidTr="00642167">
        <w:tc>
          <w:tcPr>
            <w:tcW w:w="4938" w:type="dxa"/>
            <w:tcBorders>
              <w:top w:val="nil"/>
              <w:left w:val="single" w:sz="8" w:space="0" w:color="4F81BD"/>
              <w:bottom w:val="nil"/>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p>
        </w:tc>
        <w:tc>
          <w:tcPr>
            <w:tcW w:w="3260" w:type="dxa"/>
            <w:tcBorders>
              <w:top w:val="nil"/>
              <w:left w:val="nil"/>
              <w:bottom w:val="nil"/>
              <w:right w:val="single" w:sz="8" w:space="0" w:color="4F81B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p>
        </w:tc>
      </w:tr>
      <w:tr w:rsidR="00BB2A9C" w:rsidRPr="00173C4C" w:rsidTr="00642167">
        <w:tc>
          <w:tcPr>
            <w:tcW w:w="4938" w:type="dxa"/>
            <w:tcBorders>
              <w:top w:val="single" w:sz="8" w:space="0" w:color="1F497D"/>
              <w:left w:val="single" w:sz="8" w:space="0" w:color="4F81BD"/>
              <w:bottom w:val="single" w:sz="8" w:space="0" w:color="4F81BD"/>
              <w:right w:val="single" w:sz="8" w:space="0" w:color="1F497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Total</w:t>
            </w:r>
          </w:p>
        </w:tc>
        <w:tc>
          <w:tcPr>
            <w:tcW w:w="3260" w:type="dxa"/>
            <w:tcBorders>
              <w:top w:val="single" w:sz="8" w:space="0" w:color="1F497D"/>
              <w:left w:val="nil"/>
              <w:bottom w:val="single" w:sz="8" w:space="0" w:color="4F81BD"/>
              <w:right w:val="single" w:sz="8" w:space="0" w:color="4F81BD"/>
            </w:tcBorders>
            <w:tcMar>
              <w:top w:w="0" w:type="dxa"/>
              <w:left w:w="108" w:type="dxa"/>
              <w:bottom w:w="0" w:type="dxa"/>
              <w:right w:w="108" w:type="dxa"/>
            </w:tcMar>
            <w:hideMark/>
          </w:tcPr>
          <w:p w:rsidR="00BB2A9C" w:rsidRPr="00173C4C" w:rsidRDefault="00BB2A9C" w:rsidP="00727715">
            <w:pPr>
              <w:spacing w:after="360"/>
              <w:rPr>
                <w:rFonts w:cs="Arial"/>
                <w:b/>
                <w:color w:val="1F497D" w:themeColor="text2"/>
                <w:szCs w:val="24"/>
              </w:rPr>
            </w:pPr>
            <w:r w:rsidRPr="00173C4C">
              <w:rPr>
                <w:rFonts w:cs="Arial"/>
                <w:b/>
                <w:color w:val="1F497D" w:themeColor="text2"/>
                <w:szCs w:val="24"/>
              </w:rPr>
              <w:t>130.8</w:t>
            </w:r>
          </w:p>
        </w:tc>
      </w:tr>
    </w:tbl>
    <w:p w:rsidR="00C36C22" w:rsidRPr="00AB2AEA" w:rsidRDefault="00AB2AEA" w:rsidP="00AB2AEA">
      <w:pPr>
        <w:rPr>
          <w:rFonts w:cs="Arial"/>
          <w:sz w:val="20"/>
          <w:szCs w:val="20"/>
        </w:rPr>
      </w:pPr>
      <w:r>
        <w:rPr>
          <w:rFonts w:cs="Arial"/>
          <w:szCs w:val="24"/>
        </w:rPr>
        <w:t xml:space="preserve"> </w:t>
      </w:r>
    </w:p>
    <w:p w:rsidR="00F658C7" w:rsidRDefault="00F658C7" w:rsidP="00642167"/>
    <w:p w:rsidR="00642167" w:rsidRDefault="00174805" w:rsidP="00642167">
      <w:r w:rsidRPr="007E1C52">
        <w:t xml:space="preserve">Salary costs are determined by the pay arrangements for our staff who are on loan or secondment from </w:t>
      </w:r>
      <w:r w:rsidR="004420FB">
        <w:t xml:space="preserve">other </w:t>
      </w:r>
      <w:r w:rsidR="00225A58">
        <w:t>public</w:t>
      </w:r>
      <w:r w:rsidR="00ED6AD8">
        <w:t xml:space="preserve"> bodies</w:t>
      </w:r>
      <w:r w:rsidRPr="007E1C52">
        <w:t xml:space="preserve">. Commissioners’ fees are determined by the Secretary of State for Northern Ireland and cover attendance at scheduled meetings and associated preparation, meetings held with other UK Boundary Commissions and ad hoc meetings held with other bodies. The fee rate for Commissioners </w:t>
      </w:r>
      <w:r>
        <w:t>is</w:t>
      </w:r>
      <w:r w:rsidR="004420FB">
        <w:t xml:space="preserve"> £505.50 per day. </w:t>
      </w:r>
      <w:r w:rsidRPr="007E1C52">
        <w:t>Travel and subsistence in the course of official business are paid at Northern Ireland Office rates.</w:t>
      </w:r>
    </w:p>
    <w:p w:rsidR="00642167" w:rsidRDefault="00642167">
      <w:pPr>
        <w:spacing w:after="200"/>
      </w:pPr>
      <w:r>
        <w:br w:type="page"/>
      </w:r>
    </w:p>
    <w:p w:rsidR="00506A7F" w:rsidRPr="00642167" w:rsidRDefault="00506A7F" w:rsidP="003A5310"/>
    <w:p w:rsidR="000C5A02" w:rsidRPr="004420FB" w:rsidRDefault="00CD0BD5" w:rsidP="00154777">
      <w:pPr>
        <w:pStyle w:val="Heading1"/>
      </w:pPr>
      <w:bookmarkStart w:id="31" w:name="_Toc82682201"/>
      <w:r>
        <w:t>Section 8:</w:t>
      </w:r>
      <w:r w:rsidR="000C5A02" w:rsidRPr="007D3907">
        <w:t xml:space="preserve"> Further information</w:t>
      </w:r>
      <w:bookmarkEnd w:id="31"/>
      <w:r w:rsidR="000C5A02" w:rsidRPr="007D3907">
        <w:t xml:space="preserve"> </w:t>
      </w:r>
    </w:p>
    <w:p w:rsidR="000C5A02" w:rsidRPr="00642167" w:rsidRDefault="000C5A02" w:rsidP="000C5A02">
      <w:r w:rsidRPr="00642167">
        <w:t xml:space="preserve">If you have a query which </w:t>
      </w:r>
      <w:r w:rsidR="004420FB" w:rsidRPr="00642167">
        <w:t>is not</w:t>
      </w:r>
      <w:r w:rsidRPr="00642167">
        <w:t xml:space="preserve"> answered by this report or from the Commission’s website</w:t>
      </w:r>
      <w:r w:rsidRPr="00B51BE4">
        <w:rPr>
          <w:rFonts w:cs="Arial"/>
          <w:szCs w:val="24"/>
        </w:rPr>
        <w:t xml:space="preserve"> </w:t>
      </w:r>
      <w:hyperlink r:id="rId22" w:history="1">
        <w:r w:rsidRPr="00B51BE4">
          <w:rPr>
            <w:rStyle w:val="Hyperlink"/>
            <w:rFonts w:cs="Arial"/>
            <w:szCs w:val="24"/>
          </w:rPr>
          <w:t>www.boundarycommission.org.uk</w:t>
        </w:r>
      </w:hyperlink>
      <w:r w:rsidR="00A65461">
        <w:rPr>
          <w:rStyle w:val="Hyperlink"/>
          <w:rFonts w:cs="Arial"/>
          <w:szCs w:val="24"/>
        </w:rPr>
        <w:t>,</w:t>
      </w:r>
      <w:r w:rsidRPr="00B51BE4">
        <w:rPr>
          <w:rFonts w:cs="Arial"/>
          <w:szCs w:val="24"/>
        </w:rPr>
        <w:t xml:space="preserve"> </w:t>
      </w:r>
      <w:r w:rsidRPr="00642167">
        <w:t xml:space="preserve">please contact us either by email, telephone or in writing at: </w:t>
      </w:r>
    </w:p>
    <w:p w:rsidR="000C5A02" w:rsidRPr="00770A21" w:rsidRDefault="000C5A02" w:rsidP="009F494D">
      <w:pPr>
        <w:rPr>
          <w:rFonts w:cs="Arial"/>
          <w:b/>
          <w:szCs w:val="24"/>
        </w:rPr>
      </w:pPr>
    </w:p>
    <w:p w:rsidR="000C5A02" w:rsidRPr="00770A21" w:rsidRDefault="000C5A02" w:rsidP="00642167">
      <w:r w:rsidRPr="00770A21">
        <w:t>Boundary Commission for Northern Ireland</w:t>
      </w:r>
    </w:p>
    <w:p w:rsidR="000C5A02" w:rsidRPr="00770A21" w:rsidRDefault="000C5A02" w:rsidP="00642167">
      <w:r w:rsidRPr="00770A21">
        <w:t>The Bungalow</w:t>
      </w:r>
    </w:p>
    <w:p w:rsidR="000C5A02" w:rsidRPr="00770A21" w:rsidRDefault="000C5A02" w:rsidP="00642167">
      <w:r w:rsidRPr="00770A21">
        <w:t>Stormont House</w:t>
      </w:r>
    </w:p>
    <w:p w:rsidR="000C5A02" w:rsidRPr="00770A21" w:rsidRDefault="000C5A02" w:rsidP="00642167">
      <w:r w:rsidRPr="00770A21">
        <w:t>Stormont Estate</w:t>
      </w:r>
    </w:p>
    <w:p w:rsidR="000C5A02" w:rsidRPr="00770A21" w:rsidRDefault="000C5A02" w:rsidP="00642167">
      <w:r w:rsidRPr="00770A21">
        <w:t>Belfast</w:t>
      </w:r>
    </w:p>
    <w:p w:rsidR="000C5A02" w:rsidRDefault="000C5A02" w:rsidP="00642167">
      <w:r w:rsidRPr="00770A21">
        <w:t>BT4 3SH</w:t>
      </w:r>
    </w:p>
    <w:p w:rsidR="000C5A02" w:rsidRPr="00770A21" w:rsidRDefault="000C5A02" w:rsidP="009F494D">
      <w:pPr>
        <w:rPr>
          <w:rFonts w:cs="Arial"/>
          <w:b/>
          <w:szCs w:val="24"/>
        </w:rPr>
      </w:pPr>
    </w:p>
    <w:p w:rsidR="000C5A02" w:rsidRPr="00770A21" w:rsidRDefault="008B2E64" w:rsidP="00642167">
      <w:r>
        <w:t>Tel: 028 9052 7821</w:t>
      </w:r>
    </w:p>
    <w:p w:rsidR="000C5A02" w:rsidRPr="00506A7F" w:rsidRDefault="000C5A02" w:rsidP="00642167">
      <w:r w:rsidRPr="00770A21">
        <w:t xml:space="preserve">Email: </w:t>
      </w:r>
      <w:hyperlink r:id="rId23" w:history="1">
        <w:r w:rsidRPr="00770A21">
          <w:rPr>
            <w:rStyle w:val="Hyperlink"/>
            <w:rFonts w:cs="Arial"/>
            <w:b/>
            <w:szCs w:val="24"/>
          </w:rPr>
          <w:t>contact@boundarycommission.org.uk</w:t>
        </w:r>
      </w:hyperlink>
    </w:p>
    <w:p w:rsidR="000C5A02" w:rsidRDefault="000C5A02" w:rsidP="00642167">
      <w:pPr>
        <w:rPr>
          <w:sz w:val="28"/>
          <w:szCs w:val="28"/>
        </w:rPr>
      </w:pPr>
    </w:p>
    <w:p w:rsidR="00C80C87" w:rsidRDefault="00C80C87"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D84993" w:rsidRDefault="00D84993" w:rsidP="00D84993">
      <w:pPr>
        <w:rPr>
          <w:rFonts w:cs="Arial"/>
          <w:sz w:val="28"/>
          <w:szCs w:val="28"/>
        </w:rPr>
      </w:pPr>
    </w:p>
    <w:p w:rsidR="007D3907" w:rsidRPr="00345A0C" w:rsidRDefault="007D3907" w:rsidP="007D3907">
      <w:pPr>
        <w:jc w:val="center"/>
        <w:rPr>
          <w:rFonts w:cs="Arial"/>
          <w:sz w:val="28"/>
          <w:szCs w:val="28"/>
        </w:rPr>
      </w:pPr>
    </w:p>
    <w:sectPr w:rsidR="007D3907" w:rsidRPr="00345A0C" w:rsidSect="000F7C8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B7" w:rsidRDefault="003876B7" w:rsidP="000C78DC">
      <w:pPr>
        <w:spacing w:line="240" w:lineRule="auto"/>
      </w:pPr>
      <w:r>
        <w:separator/>
      </w:r>
    </w:p>
  </w:endnote>
  <w:endnote w:type="continuationSeparator" w:id="0">
    <w:p w:rsidR="003876B7" w:rsidRDefault="003876B7" w:rsidP="000C7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07489"/>
      <w:docPartObj>
        <w:docPartGallery w:val="Page Numbers (Bottom of Page)"/>
        <w:docPartUnique/>
      </w:docPartObj>
    </w:sdtPr>
    <w:sdtEndPr>
      <w:rPr>
        <w:noProof/>
      </w:rPr>
    </w:sdtEndPr>
    <w:sdtContent>
      <w:p w:rsidR="003257BF" w:rsidRDefault="003257BF">
        <w:pPr>
          <w:pStyle w:val="Footer"/>
          <w:jc w:val="center"/>
        </w:pPr>
        <w:r>
          <w:fldChar w:fldCharType="begin"/>
        </w:r>
        <w:r>
          <w:instrText xml:space="preserve"> PAGE   \* MERGEFORMAT </w:instrText>
        </w:r>
        <w:r>
          <w:fldChar w:fldCharType="separate"/>
        </w:r>
        <w:r w:rsidR="008D4972">
          <w:rPr>
            <w:noProof/>
          </w:rPr>
          <w:t>3</w:t>
        </w:r>
        <w:r>
          <w:rPr>
            <w:noProof/>
          </w:rPr>
          <w:fldChar w:fldCharType="end"/>
        </w:r>
      </w:p>
    </w:sdtContent>
  </w:sdt>
  <w:p w:rsidR="000A5979" w:rsidRDefault="000A5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019713"/>
      <w:docPartObj>
        <w:docPartGallery w:val="Page Numbers (Bottom of Page)"/>
        <w:docPartUnique/>
      </w:docPartObj>
    </w:sdtPr>
    <w:sdtEndPr/>
    <w:sdtContent>
      <w:p w:rsidR="000A5979" w:rsidRDefault="000A5979">
        <w:pPr>
          <w:pStyle w:val="Footer"/>
          <w:jc w:val="center"/>
        </w:pPr>
        <w:r>
          <w:fldChar w:fldCharType="begin"/>
        </w:r>
        <w:r>
          <w:instrText xml:space="preserve"> PAGE   \* MERGEFORMAT </w:instrText>
        </w:r>
        <w:r>
          <w:fldChar w:fldCharType="separate"/>
        </w:r>
        <w:r w:rsidR="008D4972">
          <w:rPr>
            <w:noProof/>
          </w:rPr>
          <w:t>1</w:t>
        </w:r>
        <w:r>
          <w:rPr>
            <w:noProof/>
          </w:rPr>
          <w:fldChar w:fldCharType="end"/>
        </w:r>
      </w:p>
    </w:sdtContent>
  </w:sdt>
  <w:p w:rsidR="000A5979" w:rsidRDefault="000A5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85192"/>
      <w:docPartObj>
        <w:docPartGallery w:val="Page Numbers (Bottom of Page)"/>
        <w:docPartUnique/>
      </w:docPartObj>
    </w:sdtPr>
    <w:sdtEndPr>
      <w:rPr>
        <w:noProof/>
      </w:rPr>
    </w:sdtEndPr>
    <w:sdtContent>
      <w:p w:rsidR="003257BF" w:rsidRDefault="003257BF">
        <w:pPr>
          <w:pStyle w:val="Footer"/>
          <w:jc w:val="center"/>
        </w:pPr>
        <w:r>
          <w:fldChar w:fldCharType="begin"/>
        </w:r>
        <w:r>
          <w:instrText xml:space="preserve"> PAGE   \* MERGEFORMAT </w:instrText>
        </w:r>
        <w:r>
          <w:fldChar w:fldCharType="separate"/>
        </w:r>
        <w:r w:rsidR="008D4972">
          <w:rPr>
            <w:noProof/>
          </w:rPr>
          <w:t>13</w:t>
        </w:r>
        <w:r>
          <w:rPr>
            <w:noProof/>
          </w:rPr>
          <w:fldChar w:fldCharType="end"/>
        </w:r>
      </w:p>
    </w:sdtContent>
  </w:sdt>
  <w:p w:rsidR="00727715" w:rsidRDefault="007277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740312"/>
      <w:docPartObj>
        <w:docPartGallery w:val="Page Numbers (Bottom of Page)"/>
        <w:docPartUnique/>
      </w:docPartObj>
    </w:sdtPr>
    <w:sdtEndPr>
      <w:rPr>
        <w:noProof/>
      </w:rPr>
    </w:sdtEndPr>
    <w:sdtContent>
      <w:p w:rsidR="003257BF" w:rsidRDefault="003257BF">
        <w:pPr>
          <w:pStyle w:val="Footer"/>
          <w:jc w:val="center"/>
        </w:pPr>
        <w:r>
          <w:fldChar w:fldCharType="begin"/>
        </w:r>
        <w:r>
          <w:instrText xml:space="preserve"> PAGE   \* MERGEFORMAT </w:instrText>
        </w:r>
        <w:r>
          <w:fldChar w:fldCharType="separate"/>
        </w:r>
        <w:r w:rsidR="008D4972">
          <w:rPr>
            <w:noProof/>
          </w:rPr>
          <w:t>8</w:t>
        </w:r>
        <w:r>
          <w:rPr>
            <w:noProof/>
          </w:rPr>
          <w:fldChar w:fldCharType="end"/>
        </w:r>
      </w:p>
    </w:sdtContent>
  </w:sdt>
  <w:p w:rsidR="00727715" w:rsidRDefault="00727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B7" w:rsidRDefault="003876B7" w:rsidP="000C78DC">
      <w:pPr>
        <w:spacing w:line="240" w:lineRule="auto"/>
      </w:pPr>
      <w:r>
        <w:separator/>
      </w:r>
    </w:p>
  </w:footnote>
  <w:footnote w:type="continuationSeparator" w:id="0">
    <w:p w:rsidR="003876B7" w:rsidRDefault="003876B7" w:rsidP="000C78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436"/>
    <w:multiLevelType w:val="hybridMultilevel"/>
    <w:tmpl w:val="694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35CE0"/>
    <w:multiLevelType w:val="hybridMultilevel"/>
    <w:tmpl w:val="2D56B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924F2"/>
    <w:multiLevelType w:val="hybridMultilevel"/>
    <w:tmpl w:val="5E6E1B8C"/>
    <w:lvl w:ilvl="0" w:tplc="57E6ADC8">
      <w:start w:val="19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E563E"/>
    <w:multiLevelType w:val="hybridMultilevel"/>
    <w:tmpl w:val="264A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DD03DA"/>
    <w:multiLevelType w:val="hybridMultilevel"/>
    <w:tmpl w:val="2BC23C4A"/>
    <w:lvl w:ilvl="0" w:tplc="86841EC8">
      <w:start w:val="19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A186A"/>
    <w:multiLevelType w:val="hybridMultilevel"/>
    <w:tmpl w:val="564AA8AE"/>
    <w:lvl w:ilvl="0" w:tplc="7644A6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0012C"/>
    <w:multiLevelType w:val="hybridMultilevel"/>
    <w:tmpl w:val="300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C7154"/>
    <w:multiLevelType w:val="hybridMultilevel"/>
    <w:tmpl w:val="4488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73F6C"/>
    <w:multiLevelType w:val="hybridMultilevel"/>
    <w:tmpl w:val="7034E144"/>
    <w:lvl w:ilvl="0" w:tplc="9C5E6974">
      <w:start w:val="1"/>
      <w:numFmt w:val="decimal"/>
      <w:lvlText w:val="%1."/>
      <w:lvlJc w:val="left"/>
      <w:pPr>
        <w:ind w:left="4755" w:hanging="360"/>
      </w:pPr>
      <w:rPr>
        <w:i w:val="0"/>
      </w:rPr>
    </w:lvl>
    <w:lvl w:ilvl="1" w:tplc="08090019">
      <w:start w:val="1"/>
      <w:numFmt w:val="lowerLetter"/>
      <w:lvlText w:val="%2."/>
      <w:lvlJc w:val="left"/>
      <w:pPr>
        <w:ind w:left="7885" w:hanging="360"/>
      </w:pPr>
    </w:lvl>
    <w:lvl w:ilvl="2" w:tplc="0809001B">
      <w:start w:val="1"/>
      <w:numFmt w:val="lowerRoman"/>
      <w:lvlText w:val="%3."/>
      <w:lvlJc w:val="right"/>
      <w:pPr>
        <w:ind w:left="8605" w:hanging="180"/>
      </w:pPr>
    </w:lvl>
    <w:lvl w:ilvl="3" w:tplc="0809000F">
      <w:start w:val="1"/>
      <w:numFmt w:val="decimal"/>
      <w:lvlText w:val="%4."/>
      <w:lvlJc w:val="left"/>
      <w:pPr>
        <w:ind w:left="9325" w:hanging="360"/>
      </w:pPr>
    </w:lvl>
    <w:lvl w:ilvl="4" w:tplc="08090019">
      <w:start w:val="1"/>
      <w:numFmt w:val="lowerLetter"/>
      <w:lvlText w:val="%5."/>
      <w:lvlJc w:val="left"/>
      <w:pPr>
        <w:ind w:left="10045" w:hanging="360"/>
      </w:pPr>
    </w:lvl>
    <w:lvl w:ilvl="5" w:tplc="0809001B">
      <w:start w:val="1"/>
      <w:numFmt w:val="lowerRoman"/>
      <w:lvlText w:val="%6."/>
      <w:lvlJc w:val="right"/>
      <w:pPr>
        <w:ind w:left="10765" w:hanging="180"/>
      </w:pPr>
    </w:lvl>
    <w:lvl w:ilvl="6" w:tplc="0809000F">
      <w:start w:val="1"/>
      <w:numFmt w:val="decimal"/>
      <w:lvlText w:val="%7."/>
      <w:lvlJc w:val="left"/>
      <w:pPr>
        <w:ind w:left="11485" w:hanging="360"/>
      </w:pPr>
    </w:lvl>
    <w:lvl w:ilvl="7" w:tplc="08090019">
      <w:start w:val="1"/>
      <w:numFmt w:val="lowerLetter"/>
      <w:lvlText w:val="%8."/>
      <w:lvlJc w:val="left"/>
      <w:pPr>
        <w:ind w:left="12205" w:hanging="360"/>
      </w:pPr>
    </w:lvl>
    <w:lvl w:ilvl="8" w:tplc="0809001B">
      <w:start w:val="1"/>
      <w:numFmt w:val="lowerRoman"/>
      <w:lvlText w:val="%9."/>
      <w:lvlJc w:val="right"/>
      <w:pPr>
        <w:ind w:left="12925" w:hanging="180"/>
      </w:pPr>
    </w:lvl>
  </w:abstractNum>
  <w:abstractNum w:abstractNumId="9" w15:restartNumberingAfterBreak="0">
    <w:nsid w:val="4DFD1791"/>
    <w:multiLevelType w:val="hybridMultilevel"/>
    <w:tmpl w:val="EE84F82A"/>
    <w:lvl w:ilvl="0" w:tplc="CC14C082">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F228D"/>
    <w:multiLevelType w:val="hybridMultilevel"/>
    <w:tmpl w:val="89F8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C42F4"/>
    <w:multiLevelType w:val="hybridMultilevel"/>
    <w:tmpl w:val="9BD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D6B28"/>
    <w:multiLevelType w:val="hybridMultilevel"/>
    <w:tmpl w:val="4440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E8154E"/>
    <w:multiLevelType w:val="hybridMultilevel"/>
    <w:tmpl w:val="6630B3B2"/>
    <w:lvl w:ilvl="0" w:tplc="F42E2A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62C1E"/>
    <w:multiLevelType w:val="hybridMultilevel"/>
    <w:tmpl w:val="E8A808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6A7714"/>
    <w:multiLevelType w:val="hybridMultilevel"/>
    <w:tmpl w:val="587A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03D1A"/>
    <w:multiLevelType w:val="hybridMultilevel"/>
    <w:tmpl w:val="9EE2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6"/>
  </w:num>
  <w:num w:numId="5">
    <w:abstractNumId w:val="15"/>
  </w:num>
  <w:num w:numId="6">
    <w:abstractNumId w:val="1"/>
  </w:num>
  <w:num w:numId="7">
    <w:abstractNumId w:val="11"/>
  </w:num>
  <w:num w:numId="8">
    <w:abstractNumId w:val="0"/>
  </w:num>
  <w:num w:numId="9">
    <w:abstractNumId w:val="9"/>
  </w:num>
  <w:num w:numId="10">
    <w:abstractNumId w:val="12"/>
  </w:num>
  <w:num w:numId="11">
    <w:abstractNumId w:val="5"/>
  </w:num>
  <w:num w:numId="12">
    <w:abstractNumId w:val="2"/>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readOnly" w:enforcement="1" w:cryptProviderType="rsaAES" w:cryptAlgorithmClass="hash" w:cryptAlgorithmType="typeAny" w:cryptAlgorithmSid="14" w:cryptSpinCount="100000" w:hash="3MEDIvBfjF6tWJ1lCeI5iWLHW3ER4pftWjK4z0dNWSnxmABo7e3Ymy4C2sEOrKTxP1e+jU4gWDAHRqxzMN8TBQ==" w:salt="hBJ4zZbOdSwIwV0pQxzLs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0A"/>
    <w:rsid w:val="0001156A"/>
    <w:rsid w:val="00011E7B"/>
    <w:rsid w:val="0001460E"/>
    <w:rsid w:val="000172E1"/>
    <w:rsid w:val="000175F5"/>
    <w:rsid w:val="000216BA"/>
    <w:rsid w:val="00023E61"/>
    <w:rsid w:val="00056BE4"/>
    <w:rsid w:val="00057762"/>
    <w:rsid w:val="00075B43"/>
    <w:rsid w:val="0008017B"/>
    <w:rsid w:val="00080A32"/>
    <w:rsid w:val="00083DE2"/>
    <w:rsid w:val="000872E4"/>
    <w:rsid w:val="00090F8D"/>
    <w:rsid w:val="000941AD"/>
    <w:rsid w:val="000944CC"/>
    <w:rsid w:val="000A10E6"/>
    <w:rsid w:val="000A48DB"/>
    <w:rsid w:val="000A5979"/>
    <w:rsid w:val="000B39A2"/>
    <w:rsid w:val="000B3F43"/>
    <w:rsid w:val="000C5A02"/>
    <w:rsid w:val="000C78DC"/>
    <w:rsid w:val="000D10F7"/>
    <w:rsid w:val="000E0F92"/>
    <w:rsid w:val="000E430A"/>
    <w:rsid w:val="000E7328"/>
    <w:rsid w:val="000F0355"/>
    <w:rsid w:val="000F2EEA"/>
    <w:rsid w:val="000F3A9F"/>
    <w:rsid w:val="000F5739"/>
    <w:rsid w:val="000F5AB7"/>
    <w:rsid w:val="000F7008"/>
    <w:rsid w:val="000F7C84"/>
    <w:rsid w:val="0010091D"/>
    <w:rsid w:val="0010519A"/>
    <w:rsid w:val="0010696A"/>
    <w:rsid w:val="00111315"/>
    <w:rsid w:val="0013208D"/>
    <w:rsid w:val="001337E4"/>
    <w:rsid w:val="00146E3A"/>
    <w:rsid w:val="00147D8F"/>
    <w:rsid w:val="00154777"/>
    <w:rsid w:val="001572E9"/>
    <w:rsid w:val="001728BE"/>
    <w:rsid w:val="001728C0"/>
    <w:rsid w:val="00173C4C"/>
    <w:rsid w:val="00174805"/>
    <w:rsid w:val="00177C96"/>
    <w:rsid w:val="00181660"/>
    <w:rsid w:val="00181A15"/>
    <w:rsid w:val="00183356"/>
    <w:rsid w:val="00184BE3"/>
    <w:rsid w:val="00185D37"/>
    <w:rsid w:val="00186FD0"/>
    <w:rsid w:val="0019068A"/>
    <w:rsid w:val="001A40C2"/>
    <w:rsid w:val="001A452C"/>
    <w:rsid w:val="001A5A0F"/>
    <w:rsid w:val="001A6F8F"/>
    <w:rsid w:val="001B10E1"/>
    <w:rsid w:val="001E3B51"/>
    <w:rsid w:val="001F256A"/>
    <w:rsid w:val="001F26A7"/>
    <w:rsid w:val="00204FD7"/>
    <w:rsid w:val="00214166"/>
    <w:rsid w:val="00220E35"/>
    <w:rsid w:val="002227C8"/>
    <w:rsid w:val="00225A58"/>
    <w:rsid w:val="00227219"/>
    <w:rsid w:val="0023335A"/>
    <w:rsid w:val="002410C0"/>
    <w:rsid w:val="0024291E"/>
    <w:rsid w:val="00242BE8"/>
    <w:rsid w:val="0024726F"/>
    <w:rsid w:val="002511B2"/>
    <w:rsid w:val="00257E93"/>
    <w:rsid w:val="00261D38"/>
    <w:rsid w:val="002734E0"/>
    <w:rsid w:val="002743C8"/>
    <w:rsid w:val="00275756"/>
    <w:rsid w:val="00281F48"/>
    <w:rsid w:val="00290FBC"/>
    <w:rsid w:val="00291CE1"/>
    <w:rsid w:val="002A541A"/>
    <w:rsid w:val="002A558A"/>
    <w:rsid w:val="002B0A3A"/>
    <w:rsid w:val="002B1EBF"/>
    <w:rsid w:val="002B50FE"/>
    <w:rsid w:val="002C57E1"/>
    <w:rsid w:val="002C79F5"/>
    <w:rsid w:val="002D2CFB"/>
    <w:rsid w:val="002D6235"/>
    <w:rsid w:val="002E1F66"/>
    <w:rsid w:val="002F1E94"/>
    <w:rsid w:val="00304D4B"/>
    <w:rsid w:val="00305436"/>
    <w:rsid w:val="00311FF4"/>
    <w:rsid w:val="00312DF9"/>
    <w:rsid w:val="00313D3F"/>
    <w:rsid w:val="003257BF"/>
    <w:rsid w:val="00334C86"/>
    <w:rsid w:val="00342AF2"/>
    <w:rsid w:val="00344CAF"/>
    <w:rsid w:val="00345A0C"/>
    <w:rsid w:val="00345D6C"/>
    <w:rsid w:val="003462DC"/>
    <w:rsid w:val="00350434"/>
    <w:rsid w:val="00351AB5"/>
    <w:rsid w:val="00353F34"/>
    <w:rsid w:val="00354EE5"/>
    <w:rsid w:val="00364DF2"/>
    <w:rsid w:val="003731F6"/>
    <w:rsid w:val="003876B7"/>
    <w:rsid w:val="003877F9"/>
    <w:rsid w:val="00393235"/>
    <w:rsid w:val="00393F59"/>
    <w:rsid w:val="003957B1"/>
    <w:rsid w:val="003A37F1"/>
    <w:rsid w:val="003A5310"/>
    <w:rsid w:val="003C2E82"/>
    <w:rsid w:val="003C5174"/>
    <w:rsid w:val="003D0561"/>
    <w:rsid w:val="003E5C69"/>
    <w:rsid w:val="003F0A71"/>
    <w:rsid w:val="003F264E"/>
    <w:rsid w:val="003F4D99"/>
    <w:rsid w:val="003F5C8E"/>
    <w:rsid w:val="004013EF"/>
    <w:rsid w:val="00406608"/>
    <w:rsid w:val="004177BD"/>
    <w:rsid w:val="00424B56"/>
    <w:rsid w:val="00425394"/>
    <w:rsid w:val="00426D24"/>
    <w:rsid w:val="00426F28"/>
    <w:rsid w:val="00435B32"/>
    <w:rsid w:val="004420FB"/>
    <w:rsid w:val="00443424"/>
    <w:rsid w:val="004475E1"/>
    <w:rsid w:val="00452034"/>
    <w:rsid w:val="00453E1F"/>
    <w:rsid w:val="004557C7"/>
    <w:rsid w:val="00455AB0"/>
    <w:rsid w:val="00471446"/>
    <w:rsid w:val="004725CA"/>
    <w:rsid w:val="0047338C"/>
    <w:rsid w:val="00473687"/>
    <w:rsid w:val="0047462F"/>
    <w:rsid w:val="00474A33"/>
    <w:rsid w:val="00476D8F"/>
    <w:rsid w:val="0048587F"/>
    <w:rsid w:val="004A06E4"/>
    <w:rsid w:val="004A70F7"/>
    <w:rsid w:val="004C53EB"/>
    <w:rsid w:val="004D02A0"/>
    <w:rsid w:val="004D179C"/>
    <w:rsid w:val="004D4261"/>
    <w:rsid w:val="004D7F07"/>
    <w:rsid w:val="004E480F"/>
    <w:rsid w:val="004E6558"/>
    <w:rsid w:val="004E782D"/>
    <w:rsid w:val="004F53D1"/>
    <w:rsid w:val="004F5DDC"/>
    <w:rsid w:val="004F753B"/>
    <w:rsid w:val="00506A7F"/>
    <w:rsid w:val="00511034"/>
    <w:rsid w:val="00524DDA"/>
    <w:rsid w:val="00533243"/>
    <w:rsid w:val="00541A7C"/>
    <w:rsid w:val="0055243A"/>
    <w:rsid w:val="0056241A"/>
    <w:rsid w:val="00581EBE"/>
    <w:rsid w:val="00584405"/>
    <w:rsid w:val="00587671"/>
    <w:rsid w:val="00594EBC"/>
    <w:rsid w:val="00595DB6"/>
    <w:rsid w:val="005A09A5"/>
    <w:rsid w:val="005A7C71"/>
    <w:rsid w:val="005C54E9"/>
    <w:rsid w:val="005D0672"/>
    <w:rsid w:val="005D1096"/>
    <w:rsid w:val="005D30E4"/>
    <w:rsid w:val="005E055E"/>
    <w:rsid w:val="005E577F"/>
    <w:rsid w:val="005F18A3"/>
    <w:rsid w:val="00621D90"/>
    <w:rsid w:val="006242AA"/>
    <w:rsid w:val="00624829"/>
    <w:rsid w:val="00631021"/>
    <w:rsid w:val="00637E3B"/>
    <w:rsid w:val="00640CD6"/>
    <w:rsid w:val="00642167"/>
    <w:rsid w:val="00655409"/>
    <w:rsid w:val="00664BE1"/>
    <w:rsid w:val="00664D3E"/>
    <w:rsid w:val="00674B54"/>
    <w:rsid w:val="0068558C"/>
    <w:rsid w:val="006B3DD9"/>
    <w:rsid w:val="006C3BB3"/>
    <w:rsid w:val="006C5FA8"/>
    <w:rsid w:val="006C7BFC"/>
    <w:rsid w:val="006D586F"/>
    <w:rsid w:val="006E565B"/>
    <w:rsid w:val="006E6E84"/>
    <w:rsid w:val="006F40D8"/>
    <w:rsid w:val="006F5372"/>
    <w:rsid w:val="006F79BE"/>
    <w:rsid w:val="00706BA8"/>
    <w:rsid w:val="0072425E"/>
    <w:rsid w:val="00725404"/>
    <w:rsid w:val="00727040"/>
    <w:rsid w:val="00727715"/>
    <w:rsid w:val="0074221B"/>
    <w:rsid w:val="007449D9"/>
    <w:rsid w:val="00751AF6"/>
    <w:rsid w:val="00752ED6"/>
    <w:rsid w:val="007559E1"/>
    <w:rsid w:val="00761A75"/>
    <w:rsid w:val="00770A21"/>
    <w:rsid w:val="00782DC0"/>
    <w:rsid w:val="00784817"/>
    <w:rsid w:val="00790C50"/>
    <w:rsid w:val="007A5A8F"/>
    <w:rsid w:val="007A704F"/>
    <w:rsid w:val="007B30CA"/>
    <w:rsid w:val="007B3BB3"/>
    <w:rsid w:val="007B6416"/>
    <w:rsid w:val="007C1536"/>
    <w:rsid w:val="007D2E11"/>
    <w:rsid w:val="007D3907"/>
    <w:rsid w:val="007D4503"/>
    <w:rsid w:val="007D50CF"/>
    <w:rsid w:val="007D518B"/>
    <w:rsid w:val="007E1C52"/>
    <w:rsid w:val="007E1E56"/>
    <w:rsid w:val="007E28ED"/>
    <w:rsid w:val="007E3BDB"/>
    <w:rsid w:val="007E5270"/>
    <w:rsid w:val="007F1ED2"/>
    <w:rsid w:val="007F41B4"/>
    <w:rsid w:val="008011D6"/>
    <w:rsid w:val="00805F84"/>
    <w:rsid w:val="008124E7"/>
    <w:rsid w:val="00814A5F"/>
    <w:rsid w:val="00820289"/>
    <w:rsid w:val="00833612"/>
    <w:rsid w:val="0083487F"/>
    <w:rsid w:val="00836F20"/>
    <w:rsid w:val="00841FBC"/>
    <w:rsid w:val="00846EE1"/>
    <w:rsid w:val="00847FF6"/>
    <w:rsid w:val="008714AC"/>
    <w:rsid w:val="00871922"/>
    <w:rsid w:val="00872898"/>
    <w:rsid w:val="00872FE4"/>
    <w:rsid w:val="008771A6"/>
    <w:rsid w:val="00880A49"/>
    <w:rsid w:val="00880FF1"/>
    <w:rsid w:val="00890997"/>
    <w:rsid w:val="00896799"/>
    <w:rsid w:val="008A20B5"/>
    <w:rsid w:val="008A6BBA"/>
    <w:rsid w:val="008B1C0A"/>
    <w:rsid w:val="008B2E64"/>
    <w:rsid w:val="008B3C5D"/>
    <w:rsid w:val="008B489E"/>
    <w:rsid w:val="008B79C7"/>
    <w:rsid w:val="008D0938"/>
    <w:rsid w:val="008D17C8"/>
    <w:rsid w:val="008D321A"/>
    <w:rsid w:val="008D4972"/>
    <w:rsid w:val="008E3852"/>
    <w:rsid w:val="008E6642"/>
    <w:rsid w:val="008E6EF5"/>
    <w:rsid w:val="008F6DA7"/>
    <w:rsid w:val="00900F94"/>
    <w:rsid w:val="0090605A"/>
    <w:rsid w:val="00913A77"/>
    <w:rsid w:val="00920222"/>
    <w:rsid w:val="009340CB"/>
    <w:rsid w:val="0093447C"/>
    <w:rsid w:val="00934EA1"/>
    <w:rsid w:val="00936B86"/>
    <w:rsid w:val="00942BBB"/>
    <w:rsid w:val="00946423"/>
    <w:rsid w:val="00946559"/>
    <w:rsid w:val="009471E1"/>
    <w:rsid w:val="00947D69"/>
    <w:rsid w:val="00961CDB"/>
    <w:rsid w:val="00964478"/>
    <w:rsid w:val="00980728"/>
    <w:rsid w:val="0098296D"/>
    <w:rsid w:val="00986301"/>
    <w:rsid w:val="009B4430"/>
    <w:rsid w:val="009B71C9"/>
    <w:rsid w:val="009C233D"/>
    <w:rsid w:val="009C386C"/>
    <w:rsid w:val="009C426C"/>
    <w:rsid w:val="009C7069"/>
    <w:rsid w:val="009D0B91"/>
    <w:rsid w:val="009D4663"/>
    <w:rsid w:val="009E2AAE"/>
    <w:rsid w:val="009E5D88"/>
    <w:rsid w:val="009F0CA3"/>
    <w:rsid w:val="009F3526"/>
    <w:rsid w:val="009F494D"/>
    <w:rsid w:val="009F7CC3"/>
    <w:rsid w:val="00A01E1D"/>
    <w:rsid w:val="00A10E81"/>
    <w:rsid w:val="00A127C0"/>
    <w:rsid w:val="00A132CA"/>
    <w:rsid w:val="00A14C96"/>
    <w:rsid w:val="00A158D1"/>
    <w:rsid w:val="00A16329"/>
    <w:rsid w:val="00A173B1"/>
    <w:rsid w:val="00A230F5"/>
    <w:rsid w:val="00A273EF"/>
    <w:rsid w:val="00A30F81"/>
    <w:rsid w:val="00A52191"/>
    <w:rsid w:val="00A5578C"/>
    <w:rsid w:val="00A55F2F"/>
    <w:rsid w:val="00A574FE"/>
    <w:rsid w:val="00A57F2F"/>
    <w:rsid w:val="00A6424E"/>
    <w:rsid w:val="00A65461"/>
    <w:rsid w:val="00A768CC"/>
    <w:rsid w:val="00A81A7C"/>
    <w:rsid w:val="00A836B3"/>
    <w:rsid w:val="00A85CD4"/>
    <w:rsid w:val="00A91EEB"/>
    <w:rsid w:val="00A97E65"/>
    <w:rsid w:val="00AA459A"/>
    <w:rsid w:val="00AB1050"/>
    <w:rsid w:val="00AB2AEA"/>
    <w:rsid w:val="00AB2E33"/>
    <w:rsid w:val="00AB536F"/>
    <w:rsid w:val="00AC5934"/>
    <w:rsid w:val="00AD6B8F"/>
    <w:rsid w:val="00AF041B"/>
    <w:rsid w:val="00AF1441"/>
    <w:rsid w:val="00B02E4C"/>
    <w:rsid w:val="00B04E00"/>
    <w:rsid w:val="00B05DEA"/>
    <w:rsid w:val="00B073D2"/>
    <w:rsid w:val="00B100B9"/>
    <w:rsid w:val="00B130B9"/>
    <w:rsid w:val="00B20B0A"/>
    <w:rsid w:val="00B22B92"/>
    <w:rsid w:val="00B22FC9"/>
    <w:rsid w:val="00B24416"/>
    <w:rsid w:val="00B314FB"/>
    <w:rsid w:val="00B322F9"/>
    <w:rsid w:val="00B32F76"/>
    <w:rsid w:val="00B3438C"/>
    <w:rsid w:val="00B348C9"/>
    <w:rsid w:val="00B41D58"/>
    <w:rsid w:val="00B43914"/>
    <w:rsid w:val="00B45E4A"/>
    <w:rsid w:val="00B51BE4"/>
    <w:rsid w:val="00B52135"/>
    <w:rsid w:val="00B54B5A"/>
    <w:rsid w:val="00B557A2"/>
    <w:rsid w:val="00B57029"/>
    <w:rsid w:val="00B63C43"/>
    <w:rsid w:val="00B64F0F"/>
    <w:rsid w:val="00B67737"/>
    <w:rsid w:val="00B81403"/>
    <w:rsid w:val="00B84E1E"/>
    <w:rsid w:val="00B85D3A"/>
    <w:rsid w:val="00B86221"/>
    <w:rsid w:val="00B9074E"/>
    <w:rsid w:val="00B90E35"/>
    <w:rsid w:val="00B9176A"/>
    <w:rsid w:val="00B944B1"/>
    <w:rsid w:val="00BA15C9"/>
    <w:rsid w:val="00BB2A9C"/>
    <w:rsid w:val="00BB3A6F"/>
    <w:rsid w:val="00BD09B1"/>
    <w:rsid w:val="00BD2F0B"/>
    <w:rsid w:val="00BD6AA2"/>
    <w:rsid w:val="00BE23C8"/>
    <w:rsid w:val="00BF1215"/>
    <w:rsid w:val="00BF76C7"/>
    <w:rsid w:val="00C02938"/>
    <w:rsid w:val="00C0336B"/>
    <w:rsid w:val="00C12DE2"/>
    <w:rsid w:val="00C17F6B"/>
    <w:rsid w:val="00C3154E"/>
    <w:rsid w:val="00C3644D"/>
    <w:rsid w:val="00C36C22"/>
    <w:rsid w:val="00C66C5A"/>
    <w:rsid w:val="00C70E67"/>
    <w:rsid w:val="00C731A4"/>
    <w:rsid w:val="00C80C87"/>
    <w:rsid w:val="00C83494"/>
    <w:rsid w:val="00C86DCE"/>
    <w:rsid w:val="00C901A7"/>
    <w:rsid w:val="00CA1189"/>
    <w:rsid w:val="00CA47B4"/>
    <w:rsid w:val="00CA579A"/>
    <w:rsid w:val="00CA68F0"/>
    <w:rsid w:val="00CB4243"/>
    <w:rsid w:val="00CB749A"/>
    <w:rsid w:val="00CC0C5D"/>
    <w:rsid w:val="00CC1E44"/>
    <w:rsid w:val="00CD0BD5"/>
    <w:rsid w:val="00CD3FA3"/>
    <w:rsid w:val="00CD4ACC"/>
    <w:rsid w:val="00CD4CA8"/>
    <w:rsid w:val="00CE1194"/>
    <w:rsid w:val="00CE2343"/>
    <w:rsid w:val="00CF154E"/>
    <w:rsid w:val="00CF24F1"/>
    <w:rsid w:val="00CF2CEA"/>
    <w:rsid w:val="00CF2D20"/>
    <w:rsid w:val="00CF6853"/>
    <w:rsid w:val="00D057A7"/>
    <w:rsid w:val="00D0702C"/>
    <w:rsid w:val="00D114DE"/>
    <w:rsid w:val="00D11C47"/>
    <w:rsid w:val="00D13902"/>
    <w:rsid w:val="00D21294"/>
    <w:rsid w:val="00D26A3F"/>
    <w:rsid w:val="00D270A5"/>
    <w:rsid w:val="00D45A6C"/>
    <w:rsid w:val="00D45E14"/>
    <w:rsid w:val="00D64295"/>
    <w:rsid w:val="00D65C08"/>
    <w:rsid w:val="00D71908"/>
    <w:rsid w:val="00D84993"/>
    <w:rsid w:val="00D971F0"/>
    <w:rsid w:val="00DA5EC4"/>
    <w:rsid w:val="00DC0954"/>
    <w:rsid w:val="00DC4207"/>
    <w:rsid w:val="00DD13AF"/>
    <w:rsid w:val="00DD29C8"/>
    <w:rsid w:val="00DE02C3"/>
    <w:rsid w:val="00DE080A"/>
    <w:rsid w:val="00DE0DEE"/>
    <w:rsid w:val="00DE2D07"/>
    <w:rsid w:val="00DE30C6"/>
    <w:rsid w:val="00DF4628"/>
    <w:rsid w:val="00E03CCD"/>
    <w:rsid w:val="00E07B28"/>
    <w:rsid w:val="00E1118A"/>
    <w:rsid w:val="00E1447F"/>
    <w:rsid w:val="00E15C8C"/>
    <w:rsid w:val="00E165C1"/>
    <w:rsid w:val="00E2608F"/>
    <w:rsid w:val="00E306A7"/>
    <w:rsid w:val="00E307D8"/>
    <w:rsid w:val="00E40A31"/>
    <w:rsid w:val="00E40A50"/>
    <w:rsid w:val="00E4347A"/>
    <w:rsid w:val="00E45206"/>
    <w:rsid w:val="00E50C66"/>
    <w:rsid w:val="00E55D82"/>
    <w:rsid w:val="00E60560"/>
    <w:rsid w:val="00E710F8"/>
    <w:rsid w:val="00E71460"/>
    <w:rsid w:val="00E72AEC"/>
    <w:rsid w:val="00E75D65"/>
    <w:rsid w:val="00E8051D"/>
    <w:rsid w:val="00E80764"/>
    <w:rsid w:val="00E81DEF"/>
    <w:rsid w:val="00E85A05"/>
    <w:rsid w:val="00E928FB"/>
    <w:rsid w:val="00E9794B"/>
    <w:rsid w:val="00EA082B"/>
    <w:rsid w:val="00EB31BB"/>
    <w:rsid w:val="00EB3C22"/>
    <w:rsid w:val="00EB6D7C"/>
    <w:rsid w:val="00EC6CF3"/>
    <w:rsid w:val="00EC722F"/>
    <w:rsid w:val="00ED6AD8"/>
    <w:rsid w:val="00EF2C3B"/>
    <w:rsid w:val="00EF5938"/>
    <w:rsid w:val="00F012C6"/>
    <w:rsid w:val="00F03A41"/>
    <w:rsid w:val="00F06B0B"/>
    <w:rsid w:val="00F10BAA"/>
    <w:rsid w:val="00F1270C"/>
    <w:rsid w:val="00F12864"/>
    <w:rsid w:val="00F14A0E"/>
    <w:rsid w:val="00F15369"/>
    <w:rsid w:val="00F30A2B"/>
    <w:rsid w:val="00F30C87"/>
    <w:rsid w:val="00F341BE"/>
    <w:rsid w:val="00F3498D"/>
    <w:rsid w:val="00F46EB6"/>
    <w:rsid w:val="00F62D16"/>
    <w:rsid w:val="00F65063"/>
    <w:rsid w:val="00F658C7"/>
    <w:rsid w:val="00F70A7D"/>
    <w:rsid w:val="00F71527"/>
    <w:rsid w:val="00F803FD"/>
    <w:rsid w:val="00F80962"/>
    <w:rsid w:val="00F80D4F"/>
    <w:rsid w:val="00F83D2A"/>
    <w:rsid w:val="00F8782D"/>
    <w:rsid w:val="00FA2748"/>
    <w:rsid w:val="00FB6904"/>
    <w:rsid w:val="00FC043E"/>
    <w:rsid w:val="00FC4D22"/>
    <w:rsid w:val="00FD7562"/>
    <w:rsid w:val="00FE6075"/>
    <w:rsid w:val="00FF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5A501-615F-408C-BA42-CF9E3F38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BFC"/>
    <w:pPr>
      <w:spacing w:after="0"/>
    </w:pPr>
    <w:rPr>
      <w:rFonts w:ascii="Arial" w:hAnsi="Arial"/>
      <w:sz w:val="24"/>
    </w:rPr>
  </w:style>
  <w:style w:type="paragraph" w:styleId="Heading1">
    <w:name w:val="heading 1"/>
    <w:basedOn w:val="Normal"/>
    <w:next w:val="Normal"/>
    <w:link w:val="Heading1Char"/>
    <w:uiPriority w:val="9"/>
    <w:qFormat/>
    <w:rsid w:val="00154777"/>
    <w:pPr>
      <w:spacing w:after="240"/>
      <w:jc w:val="both"/>
      <w:outlineLvl w:val="0"/>
    </w:pPr>
    <w:rPr>
      <w:rFonts w:cs="Arial"/>
      <w:b/>
      <w:color w:val="1F497D" w:themeColor="text2"/>
      <w:sz w:val="32"/>
      <w:szCs w:val="24"/>
    </w:rPr>
  </w:style>
  <w:style w:type="paragraph" w:styleId="Heading2">
    <w:name w:val="heading 2"/>
    <w:basedOn w:val="Style2"/>
    <w:next w:val="Normal"/>
    <w:link w:val="Heading2Char"/>
    <w:uiPriority w:val="9"/>
    <w:unhideWhenUsed/>
    <w:qFormat/>
    <w:rsid w:val="00727715"/>
    <w:pPr>
      <w:outlineLvl w:val="1"/>
    </w:pPr>
  </w:style>
  <w:style w:type="paragraph" w:styleId="Heading3">
    <w:name w:val="heading 3"/>
    <w:basedOn w:val="Normal"/>
    <w:next w:val="Normal"/>
    <w:link w:val="Heading3Char"/>
    <w:uiPriority w:val="9"/>
    <w:unhideWhenUsed/>
    <w:qFormat/>
    <w:rsid w:val="00B9176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43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345A0C"/>
    <w:pPr>
      <w:ind w:left="720"/>
      <w:contextualSpacing/>
    </w:pPr>
  </w:style>
  <w:style w:type="paragraph" w:styleId="BalloonText">
    <w:name w:val="Balloon Text"/>
    <w:basedOn w:val="Normal"/>
    <w:link w:val="BalloonTextChar"/>
    <w:uiPriority w:val="99"/>
    <w:semiHidden/>
    <w:unhideWhenUsed/>
    <w:rsid w:val="00345A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0C"/>
    <w:rPr>
      <w:rFonts w:ascii="Tahoma" w:hAnsi="Tahoma" w:cs="Tahoma"/>
      <w:sz w:val="16"/>
      <w:szCs w:val="16"/>
    </w:rPr>
  </w:style>
  <w:style w:type="character" w:styleId="Hyperlink">
    <w:name w:val="Hyperlink"/>
    <w:basedOn w:val="DefaultParagraphFont"/>
    <w:uiPriority w:val="99"/>
    <w:unhideWhenUsed/>
    <w:rsid w:val="00DC0954"/>
    <w:rPr>
      <w:color w:val="0000FF" w:themeColor="hyperlink"/>
      <w:u w:val="single"/>
    </w:rPr>
  </w:style>
  <w:style w:type="table" w:styleId="TableGrid">
    <w:name w:val="Table Grid"/>
    <w:basedOn w:val="TableNormal"/>
    <w:uiPriority w:val="59"/>
    <w:rsid w:val="0088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6EE1"/>
    <w:rPr>
      <w:color w:val="800080" w:themeColor="followedHyperlink"/>
      <w:u w:val="single"/>
    </w:rPr>
  </w:style>
  <w:style w:type="table" w:styleId="ColorfulList-Accent1">
    <w:name w:val="Colorful List Accent 1"/>
    <w:basedOn w:val="TableNormal"/>
    <w:uiPriority w:val="72"/>
    <w:rsid w:val="00A10E8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5">
    <w:name w:val="Colorful Grid Accent 5"/>
    <w:basedOn w:val="TableNormal"/>
    <w:uiPriority w:val="73"/>
    <w:rsid w:val="00A10E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1">
    <w:name w:val="Light List Accent 1"/>
    <w:basedOn w:val="TableNormal"/>
    <w:uiPriority w:val="61"/>
    <w:rsid w:val="00A10E8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C78DC"/>
    <w:pPr>
      <w:tabs>
        <w:tab w:val="center" w:pos="4513"/>
        <w:tab w:val="right" w:pos="9026"/>
      </w:tabs>
      <w:spacing w:line="240" w:lineRule="auto"/>
    </w:pPr>
  </w:style>
  <w:style w:type="character" w:customStyle="1" w:styleId="HeaderChar">
    <w:name w:val="Header Char"/>
    <w:basedOn w:val="DefaultParagraphFont"/>
    <w:link w:val="Header"/>
    <w:uiPriority w:val="99"/>
    <w:rsid w:val="000C78DC"/>
  </w:style>
  <w:style w:type="paragraph" w:styleId="Footer">
    <w:name w:val="footer"/>
    <w:basedOn w:val="Normal"/>
    <w:link w:val="FooterChar"/>
    <w:uiPriority w:val="99"/>
    <w:unhideWhenUsed/>
    <w:rsid w:val="000C78DC"/>
    <w:pPr>
      <w:tabs>
        <w:tab w:val="center" w:pos="4513"/>
        <w:tab w:val="right" w:pos="9026"/>
      </w:tabs>
      <w:spacing w:line="240" w:lineRule="auto"/>
    </w:pPr>
  </w:style>
  <w:style w:type="character" w:customStyle="1" w:styleId="FooterChar">
    <w:name w:val="Footer Char"/>
    <w:basedOn w:val="DefaultParagraphFont"/>
    <w:link w:val="Footer"/>
    <w:uiPriority w:val="99"/>
    <w:rsid w:val="000C78DC"/>
  </w:style>
  <w:style w:type="character" w:styleId="CommentReference">
    <w:name w:val="annotation reference"/>
    <w:basedOn w:val="DefaultParagraphFont"/>
    <w:uiPriority w:val="99"/>
    <w:semiHidden/>
    <w:unhideWhenUsed/>
    <w:rsid w:val="00435B32"/>
    <w:rPr>
      <w:sz w:val="16"/>
      <w:szCs w:val="16"/>
    </w:rPr>
  </w:style>
  <w:style w:type="paragraph" w:styleId="CommentText">
    <w:name w:val="annotation text"/>
    <w:basedOn w:val="Normal"/>
    <w:link w:val="CommentTextChar"/>
    <w:uiPriority w:val="99"/>
    <w:semiHidden/>
    <w:unhideWhenUsed/>
    <w:rsid w:val="00435B32"/>
    <w:pPr>
      <w:spacing w:line="240" w:lineRule="auto"/>
    </w:pPr>
    <w:rPr>
      <w:sz w:val="20"/>
      <w:szCs w:val="20"/>
    </w:rPr>
  </w:style>
  <w:style w:type="character" w:customStyle="1" w:styleId="CommentTextChar">
    <w:name w:val="Comment Text Char"/>
    <w:basedOn w:val="DefaultParagraphFont"/>
    <w:link w:val="CommentText"/>
    <w:uiPriority w:val="99"/>
    <w:semiHidden/>
    <w:rsid w:val="00435B32"/>
    <w:rPr>
      <w:sz w:val="20"/>
      <w:szCs w:val="20"/>
    </w:rPr>
  </w:style>
  <w:style w:type="paragraph" w:styleId="CommentSubject">
    <w:name w:val="annotation subject"/>
    <w:basedOn w:val="CommentText"/>
    <w:next w:val="CommentText"/>
    <w:link w:val="CommentSubjectChar"/>
    <w:uiPriority w:val="99"/>
    <w:semiHidden/>
    <w:unhideWhenUsed/>
    <w:rsid w:val="00435B32"/>
    <w:rPr>
      <w:b/>
      <w:bCs/>
    </w:rPr>
  </w:style>
  <w:style w:type="character" w:customStyle="1" w:styleId="CommentSubjectChar">
    <w:name w:val="Comment Subject Char"/>
    <w:basedOn w:val="CommentTextChar"/>
    <w:link w:val="CommentSubject"/>
    <w:uiPriority w:val="99"/>
    <w:semiHidden/>
    <w:rsid w:val="00435B32"/>
    <w:rPr>
      <w:b/>
      <w:bCs/>
      <w:sz w:val="20"/>
      <w:szCs w:val="20"/>
    </w:rPr>
  </w:style>
  <w:style w:type="paragraph" w:styleId="NoSpacing">
    <w:name w:val="No Spacing"/>
    <w:link w:val="NoSpacingChar"/>
    <w:uiPriority w:val="1"/>
    <w:qFormat/>
    <w:rsid w:val="00FE60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6075"/>
    <w:rPr>
      <w:rFonts w:eastAsiaTheme="minorEastAsia"/>
      <w:lang w:val="en-US"/>
    </w:rPr>
  </w:style>
  <w:style w:type="paragraph" w:styleId="Title">
    <w:name w:val="Title"/>
    <w:basedOn w:val="Normal"/>
    <w:next w:val="Normal"/>
    <w:link w:val="TitleChar"/>
    <w:autoRedefine/>
    <w:uiPriority w:val="10"/>
    <w:qFormat/>
    <w:rsid w:val="00181660"/>
    <w:pPr>
      <w:spacing w:line="240" w:lineRule="auto"/>
      <w:contextualSpacing/>
      <w:jc w:val="center"/>
    </w:pPr>
    <w:rPr>
      <w:rFonts w:eastAsiaTheme="majorEastAsia" w:cstheme="majorBidi"/>
      <w:b/>
      <w:color w:val="FFFFFF" w:themeColor="background1"/>
      <w:spacing w:val="-10"/>
      <w:kern w:val="28"/>
      <w:sz w:val="96"/>
      <w:szCs w:val="132"/>
    </w:rPr>
  </w:style>
  <w:style w:type="character" w:customStyle="1" w:styleId="TitleChar">
    <w:name w:val="Title Char"/>
    <w:basedOn w:val="DefaultParagraphFont"/>
    <w:link w:val="Title"/>
    <w:uiPriority w:val="10"/>
    <w:rsid w:val="00181660"/>
    <w:rPr>
      <w:rFonts w:ascii="Arial" w:eastAsiaTheme="majorEastAsia" w:hAnsi="Arial" w:cstheme="majorBidi"/>
      <w:b/>
      <w:color w:val="FFFFFF" w:themeColor="background1"/>
      <w:spacing w:val="-10"/>
      <w:kern w:val="28"/>
      <w:sz w:val="96"/>
      <w:szCs w:val="132"/>
    </w:rPr>
  </w:style>
  <w:style w:type="character" w:styleId="BookTitle">
    <w:name w:val="Book Title"/>
    <w:basedOn w:val="DefaultParagraphFont"/>
    <w:uiPriority w:val="33"/>
    <w:qFormat/>
    <w:rsid w:val="00227219"/>
    <w:rPr>
      <w:rFonts w:ascii="Calibri" w:hAnsi="Calibri" w:cs="Calibri" w:hint="default"/>
      <w:b w:val="0"/>
      <w:bCs/>
      <w:i w:val="0"/>
      <w:iCs/>
      <w:spacing w:val="5"/>
      <w:sz w:val="144"/>
    </w:rPr>
  </w:style>
  <w:style w:type="paragraph" w:customStyle="1" w:styleId="Style1">
    <w:name w:val="Style1"/>
    <w:basedOn w:val="Normal"/>
    <w:link w:val="Style1Char"/>
    <w:qFormat/>
    <w:rsid w:val="006C7BFC"/>
    <w:rPr>
      <w:rFonts w:cs="Arial"/>
      <w:b/>
      <w:color w:val="1F497D" w:themeColor="text2"/>
      <w:sz w:val="28"/>
      <w:szCs w:val="24"/>
    </w:rPr>
  </w:style>
  <w:style w:type="character" w:customStyle="1" w:styleId="Style1Char">
    <w:name w:val="Style1 Char"/>
    <w:basedOn w:val="DefaultParagraphFont"/>
    <w:link w:val="Style1"/>
    <w:rsid w:val="006C7BFC"/>
    <w:rPr>
      <w:rFonts w:ascii="Arial" w:hAnsi="Arial" w:cs="Arial"/>
      <w:b/>
      <w:color w:val="1F497D" w:themeColor="text2"/>
      <w:sz w:val="28"/>
      <w:szCs w:val="24"/>
    </w:rPr>
  </w:style>
  <w:style w:type="paragraph" w:customStyle="1" w:styleId="Style2">
    <w:name w:val="Style2"/>
    <w:basedOn w:val="Normal"/>
    <w:link w:val="Style2Char"/>
    <w:qFormat/>
    <w:rsid w:val="00B22FC9"/>
    <w:pPr>
      <w:jc w:val="both"/>
    </w:pPr>
    <w:rPr>
      <w:rFonts w:cs="Arial"/>
      <w:b/>
      <w:color w:val="1F497D" w:themeColor="text2"/>
      <w:szCs w:val="24"/>
    </w:rPr>
  </w:style>
  <w:style w:type="character" w:customStyle="1" w:styleId="Heading1Char">
    <w:name w:val="Heading 1 Char"/>
    <w:basedOn w:val="DefaultParagraphFont"/>
    <w:link w:val="Heading1"/>
    <w:uiPriority w:val="9"/>
    <w:rsid w:val="00154777"/>
    <w:rPr>
      <w:rFonts w:ascii="Arial" w:hAnsi="Arial" w:cs="Arial"/>
      <w:b/>
      <w:color w:val="1F497D" w:themeColor="text2"/>
      <w:sz w:val="32"/>
      <w:szCs w:val="24"/>
    </w:rPr>
  </w:style>
  <w:style w:type="character" w:customStyle="1" w:styleId="Style2Char">
    <w:name w:val="Style2 Char"/>
    <w:basedOn w:val="DefaultParagraphFont"/>
    <w:link w:val="Style2"/>
    <w:rsid w:val="00B22FC9"/>
    <w:rPr>
      <w:rFonts w:ascii="Arial" w:hAnsi="Arial" w:cs="Arial"/>
      <w:b/>
      <w:color w:val="1F497D" w:themeColor="text2"/>
      <w:sz w:val="24"/>
      <w:szCs w:val="24"/>
    </w:rPr>
  </w:style>
  <w:style w:type="paragraph" w:customStyle="1" w:styleId="Style3">
    <w:name w:val="Style3"/>
    <w:basedOn w:val="Normal"/>
    <w:link w:val="Style3Char"/>
    <w:qFormat/>
    <w:rsid w:val="00642167"/>
    <w:pPr>
      <w:spacing w:after="360"/>
      <w:jc w:val="both"/>
    </w:pPr>
    <w:rPr>
      <w:rFonts w:cs="Arial"/>
      <w:b/>
      <w:color w:val="1F497D" w:themeColor="text2"/>
      <w:sz w:val="32"/>
      <w:szCs w:val="24"/>
    </w:rPr>
  </w:style>
  <w:style w:type="paragraph" w:styleId="TOCHeading">
    <w:name w:val="TOC Heading"/>
    <w:basedOn w:val="Heading1"/>
    <w:next w:val="Normal"/>
    <w:uiPriority w:val="39"/>
    <w:unhideWhenUsed/>
    <w:qFormat/>
    <w:rsid w:val="00261D38"/>
    <w:pPr>
      <w:spacing w:line="259" w:lineRule="auto"/>
      <w:outlineLvl w:val="9"/>
    </w:pPr>
    <w:rPr>
      <w:rFonts w:asciiTheme="majorHAnsi" w:hAnsiTheme="majorHAnsi"/>
      <w:lang w:val="en-US"/>
    </w:rPr>
  </w:style>
  <w:style w:type="character" w:customStyle="1" w:styleId="Style3Char">
    <w:name w:val="Style3 Char"/>
    <w:basedOn w:val="DefaultParagraphFont"/>
    <w:link w:val="Style3"/>
    <w:rsid w:val="00642167"/>
    <w:rPr>
      <w:rFonts w:ascii="Arial" w:hAnsi="Arial" w:cs="Arial"/>
      <w:b/>
      <w:color w:val="1F497D" w:themeColor="text2"/>
      <w:sz w:val="32"/>
      <w:szCs w:val="24"/>
    </w:rPr>
  </w:style>
  <w:style w:type="paragraph" w:styleId="TOC1">
    <w:name w:val="toc 1"/>
    <w:basedOn w:val="Normal"/>
    <w:next w:val="Normal"/>
    <w:autoRedefine/>
    <w:uiPriority w:val="39"/>
    <w:unhideWhenUsed/>
    <w:rsid w:val="00154777"/>
    <w:pPr>
      <w:spacing w:after="100"/>
    </w:pPr>
  </w:style>
  <w:style w:type="paragraph" w:styleId="TOC2">
    <w:name w:val="toc 2"/>
    <w:basedOn w:val="Normal"/>
    <w:next w:val="Normal"/>
    <w:autoRedefine/>
    <w:uiPriority w:val="39"/>
    <w:unhideWhenUsed/>
    <w:rsid w:val="00154777"/>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154777"/>
    <w:pPr>
      <w:spacing w:after="100" w:line="259" w:lineRule="auto"/>
      <w:ind w:left="440"/>
    </w:pPr>
    <w:rPr>
      <w:rFonts w:asciiTheme="minorHAnsi" w:eastAsiaTheme="minorEastAsia" w:hAnsiTheme="minorHAnsi" w:cs="Times New Roman"/>
      <w:sz w:val="22"/>
      <w:lang w:val="en-US"/>
    </w:rPr>
  </w:style>
  <w:style w:type="character" w:customStyle="1" w:styleId="Heading2Char">
    <w:name w:val="Heading 2 Char"/>
    <w:basedOn w:val="DefaultParagraphFont"/>
    <w:link w:val="Heading2"/>
    <w:uiPriority w:val="9"/>
    <w:rsid w:val="00727715"/>
    <w:rPr>
      <w:rFonts w:ascii="Arial" w:hAnsi="Arial" w:cs="Arial"/>
      <w:b/>
      <w:color w:val="1F497D" w:themeColor="text2"/>
      <w:sz w:val="24"/>
      <w:szCs w:val="24"/>
    </w:rPr>
  </w:style>
  <w:style w:type="character" w:customStyle="1" w:styleId="Heading3Char">
    <w:name w:val="Heading 3 Char"/>
    <w:basedOn w:val="DefaultParagraphFont"/>
    <w:link w:val="Heading3"/>
    <w:uiPriority w:val="9"/>
    <w:rsid w:val="00B9176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152">
      <w:bodyDiv w:val="1"/>
      <w:marLeft w:val="0"/>
      <w:marRight w:val="0"/>
      <w:marTop w:val="0"/>
      <w:marBottom w:val="0"/>
      <w:divBdr>
        <w:top w:val="none" w:sz="0" w:space="0" w:color="auto"/>
        <w:left w:val="none" w:sz="0" w:space="0" w:color="auto"/>
        <w:bottom w:val="none" w:sz="0" w:space="0" w:color="auto"/>
        <w:right w:val="none" w:sz="0" w:space="0" w:color="auto"/>
      </w:divBdr>
    </w:div>
    <w:div w:id="504054730">
      <w:bodyDiv w:val="1"/>
      <w:marLeft w:val="0"/>
      <w:marRight w:val="0"/>
      <w:marTop w:val="0"/>
      <w:marBottom w:val="0"/>
      <w:divBdr>
        <w:top w:val="none" w:sz="0" w:space="0" w:color="auto"/>
        <w:left w:val="none" w:sz="0" w:space="0" w:color="auto"/>
        <w:bottom w:val="none" w:sz="0" w:space="0" w:color="auto"/>
        <w:right w:val="none" w:sz="0" w:space="0" w:color="auto"/>
      </w:divBdr>
    </w:div>
    <w:div w:id="737702567">
      <w:bodyDiv w:val="1"/>
      <w:marLeft w:val="0"/>
      <w:marRight w:val="0"/>
      <w:marTop w:val="0"/>
      <w:marBottom w:val="0"/>
      <w:divBdr>
        <w:top w:val="none" w:sz="0" w:space="0" w:color="auto"/>
        <w:left w:val="none" w:sz="0" w:space="0" w:color="auto"/>
        <w:bottom w:val="none" w:sz="0" w:space="0" w:color="auto"/>
        <w:right w:val="none" w:sz="0" w:space="0" w:color="auto"/>
      </w:divBdr>
    </w:div>
    <w:div w:id="1080912349">
      <w:bodyDiv w:val="1"/>
      <w:marLeft w:val="0"/>
      <w:marRight w:val="0"/>
      <w:marTop w:val="0"/>
      <w:marBottom w:val="0"/>
      <w:divBdr>
        <w:top w:val="none" w:sz="0" w:space="0" w:color="auto"/>
        <w:left w:val="none" w:sz="0" w:space="0" w:color="auto"/>
        <w:bottom w:val="none" w:sz="0" w:space="0" w:color="auto"/>
        <w:right w:val="none" w:sz="0" w:space="0" w:color="auto"/>
      </w:divBdr>
    </w:div>
    <w:div w:id="1131095210">
      <w:bodyDiv w:val="1"/>
      <w:marLeft w:val="0"/>
      <w:marRight w:val="0"/>
      <w:marTop w:val="0"/>
      <w:marBottom w:val="0"/>
      <w:divBdr>
        <w:top w:val="none" w:sz="0" w:space="0" w:color="auto"/>
        <w:left w:val="none" w:sz="0" w:space="0" w:color="auto"/>
        <w:bottom w:val="none" w:sz="0" w:space="0" w:color="auto"/>
        <w:right w:val="none" w:sz="0" w:space="0" w:color="auto"/>
      </w:divBdr>
    </w:div>
    <w:div w:id="1297566864">
      <w:bodyDiv w:val="1"/>
      <w:marLeft w:val="0"/>
      <w:marRight w:val="0"/>
      <w:marTop w:val="0"/>
      <w:marBottom w:val="0"/>
      <w:divBdr>
        <w:top w:val="none" w:sz="0" w:space="0" w:color="auto"/>
        <w:left w:val="none" w:sz="0" w:space="0" w:color="auto"/>
        <w:bottom w:val="none" w:sz="0" w:space="0" w:color="auto"/>
        <w:right w:val="none" w:sz="0" w:space="0" w:color="auto"/>
      </w:divBdr>
    </w:div>
    <w:div w:id="1309479540">
      <w:bodyDiv w:val="1"/>
      <w:marLeft w:val="0"/>
      <w:marRight w:val="0"/>
      <w:marTop w:val="0"/>
      <w:marBottom w:val="0"/>
      <w:divBdr>
        <w:top w:val="none" w:sz="0" w:space="0" w:color="auto"/>
        <w:left w:val="none" w:sz="0" w:space="0" w:color="auto"/>
        <w:bottom w:val="none" w:sz="0" w:space="0" w:color="auto"/>
        <w:right w:val="none" w:sz="0" w:space="0" w:color="auto"/>
      </w:divBdr>
    </w:div>
    <w:div w:id="1400322598">
      <w:bodyDiv w:val="1"/>
      <w:marLeft w:val="0"/>
      <w:marRight w:val="0"/>
      <w:marTop w:val="0"/>
      <w:marBottom w:val="0"/>
      <w:divBdr>
        <w:top w:val="none" w:sz="0" w:space="0" w:color="auto"/>
        <w:left w:val="none" w:sz="0" w:space="0" w:color="auto"/>
        <w:bottom w:val="none" w:sz="0" w:space="0" w:color="auto"/>
        <w:right w:val="none" w:sz="0" w:space="0" w:color="auto"/>
      </w:divBdr>
    </w:div>
    <w:div w:id="1694040538">
      <w:bodyDiv w:val="1"/>
      <w:marLeft w:val="0"/>
      <w:marRight w:val="0"/>
      <w:marTop w:val="0"/>
      <w:marBottom w:val="0"/>
      <w:divBdr>
        <w:top w:val="none" w:sz="0" w:space="0" w:color="auto"/>
        <w:left w:val="none" w:sz="0" w:space="0" w:color="auto"/>
        <w:bottom w:val="none" w:sz="0" w:space="0" w:color="auto"/>
        <w:right w:val="none" w:sz="0" w:space="0" w:color="auto"/>
      </w:divBdr>
    </w:div>
    <w:div w:id="2090686074">
      <w:bodyDiv w:val="1"/>
      <w:marLeft w:val="0"/>
      <w:marRight w:val="0"/>
      <w:marTop w:val="0"/>
      <w:marBottom w:val="0"/>
      <w:divBdr>
        <w:top w:val="none" w:sz="0" w:space="0" w:color="auto"/>
        <w:left w:val="none" w:sz="0" w:space="0" w:color="auto"/>
        <w:bottom w:val="none" w:sz="0" w:space="0" w:color="auto"/>
        <w:right w:val="none" w:sz="0" w:space="0" w:color="auto"/>
      </w:divBdr>
    </w:div>
    <w:div w:id="21390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boundarycommission.org.uk"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boundarycommission.org.uk/publications/guide-2023-review" TargetMode="External"/><Relationship Id="rId7" Type="http://schemas.openxmlformats.org/officeDocument/2006/relationships/footnotes" Target="footnotes.xml"/><Relationship Id="rId12" Type="http://schemas.openxmlformats.org/officeDocument/2006/relationships/hyperlink" Target="http://www.boundarycommission.org.uk" TargetMode="External"/><Relationship Id="rId17" Type="http://schemas.openxmlformats.org/officeDocument/2006/relationships/hyperlink" Target="https://www.eoni.org.uk/Register-To-Vote/Electorate-Statistics/Electorate-Statistics-by-Ward-20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 TargetMode="External"/><Relationship Id="rId20" Type="http://schemas.openxmlformats.org/officeDocument/2006/relationships/hyperlink" Target="https://www.boundarycommission.org.uk/publications/freedom-information-policy-and-publication-sche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undarycommission.org.uk" TargetMode="External"/><Relationship Id="rId23" Type="http://schemas.openxmlformats.org/officeDocument/2006/relationships/hyperlink" Target="mailto:contact@boundarycommission.org.uk?subject=Enquir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undarycommission.org.uk/" TargetMode="External"/><Relationship Id="rId22" Type="http://schemas.openxmlformats.org/officeDocument/2006/relationships/hyperlink" Target="file:///C:\Users\1037496\RECORDS-NI_7.1.2\Offline%20Records%20(BC)\Annual%20Report%202015-16%20-%20Audit%20&amp;%20Accountability%20-%20Governance\www.boundary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Annual Report 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4F8C4E-04B1-4980-923A-6A7D7750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2977</Words>
  <Characters>15604</Characters>
  <Application>Microsoft Office Word</Application>
  <DocSecurity>8</DocSecurity>
  <Lines>445</Lines>
  <Paragraphs>213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Hay, Lisa</cp:lastModifiedBy>
  <cp:revision>2</cp:revision>
  <cp:lastPrinted>2018-07-27T13:14:00Z</cp:lastPrinted>
  <dcterms:created xsi:type="dcterms:W3CDTF">2021-09-17T10:46:00Z</dcterms:created>
  <dcterms:modified xsi:type="dcterms:W3CDTF">2021-09-17T10:46:00Z</dcterms:modified>
  <cp:contentStatus/>
</cp:coreProperties>
</file>